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3036" w:firstLineChars="945"/>
        <w:rPr>
          <w:rFonts w:hint="eastAsia"/>
          <w:b/>
          <w:sz w:val="32"/>
          <w:szCs w:val="32"/>
        </w:rPr>
      </w:pPr>
      <w:r>
        <w:rPr>
          <w:rFonts w:hint="eastAsia"/>
          <w:b/>
          <w:sz w:val="32"/>
          <w:szCs w:val="32"/>
        </w:rPr>
        <w:t>内乡县</w:t>
      </w:r>
      <w:r>
        <w:rPr>
          <w:rFonts w:hint="eastAsia"/>
          <w:b/>
          <w:sz w:val="32"/>
          <w:szCs w:val="32"/>
          <w:lang w:eastAsia="zh-CN"/>
        </w:rPr>
        <w:t>文化广电和旅游</w:t>
      </w:r>
      <w:r>
        <w:rPr>
          <w:rFonts w:hint="eastAsia"/>
          <w:b/>
          <w:sz w:val="32"/>
          <w:szCs w:val="32"/>
        </w:rPr>
        <w:t>局2020年度随机抽查事项清单</w:t>
      </w:r>
    </w:p>
    <w:p>
      <w:pPr>
        <w:ind w:firstLine="3036" w:firstLineChars="945"/>
        <w:rPr>
          <w:rFonts w:hint="default" w:eastAsiaTheme="minorEastAsia"/>
          <w:b/>
          <w:sz w:val="32"/>
          <w:szCs w:val="32"/>
          <w:lang w:val="en-US" w:eastAsia="zh-CN"/>
        </w:rPr>
      </w:pPr>
      <w:r>
        <w:rPr>
          <w:rFonts w:hint="eastAsia"/>
          <w:b/>
          <w:sz w:val="32"/>
          <w:szCs w:val="32"/>
          <w:lang w:val="en-US" w:eastAsia="zh-CN"/>
        </w:rPr>
        <w:t xml:space="preserve">                                                   2020.1.22</w:t>
      </w:r>
    </w:p>
    <w:tbl>
      <w:tblPr>
        <w:tblStyle w:val="3"/>
        <w:tblW w:w="14693"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667"/>
        <w:gridCol w:w="1138"/>
        <w:gridCol w:w="995"/>
        <w:gridCol w:w="1701"/>
        <w:gridCol w:w="1561"/>
        <w:gridCol w:w="1792"/>
        <w:gridCol w:w="51"/>
        <w:gridCol w:w="1419"/>
        <w:gridCol w:w="4850"/>
        <w:gridCol w:w="51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99" w:hRule="atLeast"/>
        </w:trPr>
        <w:tc>
          <w:tcPr>
            <w:tcW w:w="667" w:type="dxa"/>
            <w:vMerge w:val="restart"/>
          </w:tcPr>
          <w:p>
            <w:pP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序号</w:t>
            </w:r>
          </w:p>
        </w:tc>
        <w:tc>
          <w:tcPr>
            <w:tcW w:w="2133" w:type="dxa"/>
            <w:gridSpan w:val="2"/>
            <w:tcBorders>
              <w:bottom w:val="single" w:color="auto" w:sz="4" w:space="0"/>
            </w:tcBorders>
          </w:tcPr>
          <w:p>
            <w:pPr>
              <w:ind w:firstLine="525" w:firstLineChars="250"/>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抽查项目</w:t>
            </w:r>
          </w:p>
        </w:tc>
        <w:tc>
          <w:tcPr>
            <w:tcW w:w="1701" w:type="dxa"/>
            <w:vMerge w:val="restart"/>
          </w:tcPr>
          <w:p>
            <w:pPr>
              <w:ind w:firstLine="105" w:firstLineChars="50"/>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检查对象</w:t>
            </w:r>
          </w:p>
        </w:tc>
        <w:tc>
          <w:tcPr>
            <w:tcW w:w="1561" w:type="dxa"/>
            <w:vMerge w:val="restart"/>
          </w:tcPr>
          <w:p>
            <w:pPr>
              <w:ind w:firstLine="105" w:firstLineChars="50"/>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事项类别</w:t>
            </w:r>
          </w:p>
        </w:tc>
        <w:tc>
          <w:tcPr>
            <w:tcW w:w="1792" w:type="dxa"/>
            <w:vMerge w:val="restart"/>
          </w:tcPr>
          <w:p>
            <w:pPr>
              <w:ind w:firstLine="105" w:firstLineChars="50"/>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检查方式</w:t>
            </w:r>
          </w:p>
        </w:tc>
        <w:tc>
          <w:tcPr>
            <w:tcW w:w="1470" w:type="dxa"/>
            <w:gridSpan w:val="2"/>
            <w:vMerge w:val="restart"/>
          </w:tcPr>
          <w:p>
            <w:pPr>
              <w:ind w:firstLine="105" w:firstLineChars="50"/>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检查主体</w:t>
            </w:r>
          </w:p>
        </w:tc>
        <w:tc>
          <w:tcPr>
            <w:tcW w:w="5369" w:type="dxa"/>
            <w:gridSpan w:val="2"/>
            <w:vMerge w:val="restart"/>
          </w:tcPr>
          <w:p>
            <w:pPr>
              <w:ind w:firstLine="1995" w:firstLineChars="950"/>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检查依据</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26" w:hRule="atLeast"/>
        </w:trPr>
        <w:tc>
          <w:tcPr>
            <w:tcW w:w="667" w:type="dxa"/>
            <w:vMerge w:val="continue"/>
          </w:tcPr>
          <w:p>
            <w:pPr>
              <w:rPr>
                <w:rFonts w:asciiTheme="minorEastAsia" w:hAnsiTheme="minorEastAsia" w:eastAsiaTheme="minorEastAsia" w:cstheme="minorEastAsia"/>
                <w:kern w:val="0"/>
                <w:sz w:val="21"/>
                <w:szCs w:val="21"/>
              </w:rPr>
            </w:pPr>
          </w:p>
        </w:tc>
        <w:tc>
          <w:tcPr>
            <w:tcW w:w="1138" w:type="dxa"/>
            <w:tcBorders>
              <w:top w:val="single" w:color="auto" w:sz="4" w:space="0"/>
              <w:right w:val="single" w:color="auto" w:sz="4" w:space="0"/>
            </w:tcBorders>
          </w:tcPr>
          <w:p>
            <w:pP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抽查类别</w:t>
            </w:r>
          </w:p>
        </w:tc>
        <w:tc>
          <w:tcPr>
            <w:tcW w:w="995" w:type="dxa"/>
            <w:tcBorders>
              <w:top w:val="single" w:color="auto" w:sz="4" w:space="0"/>
              <w:left w:val="single" w:color="auto" w:sz="4" w:space="0"/>
            </w:tcBorders>
          </w:tcPr>
          <w:p>
            <w:pP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抽</w:t>
            </w:r>
            <w:bookmarkStart w:id="0" w:name="_GoBack"/>
            <w:bookmarkEnd w:id="0"/>
            <w:r>
              <w:rPr>
                <w:rFonts w:hint="eastAsia" w:asciiTheme="minorEastAsia" w:hAnsiTheme="minorEastAsia" w:eastAsiaTheme="minorEastAsia" w:cstheme="minorEastAsia"/>
                <w:kern w:val="0"/>
                <w:sz w:val="21"/>
                <w:szCs w:val="21"/>
              </w:rPr>
              <w:t>查事项</w:t>
            </w:r>
          </w:p>
        </w:tc>
        <w:tc>
          <w:tcPr>
            <w:tcW w:w="1701" w:type="dxa"/>
            <w:vMerge w:val="continue"/>
          </w:tcPr>
          <w:p>
            <w:pPr>
              <w:rPr>
                <w:rFonts w:asciiTheme="minorEastAsia" w:hAnsiTheme="minorEastAsia" w:eastAsiaTheme="minorEastAsia" w:cstheme="minorEastAsia"/>
                <w:kern w:val="0"/>
                <w:sz w:val="21"/>
                <w:szCs w:val="21"/>
              </w:rPr>
            </w:pPr>
          </w:p>
        </w:tc>
        <w:tc>
          <w:tcPr>
            <w:tcW w:w="1561" w:type="dxa"/>
            <w:vMerge w:val="continue"/>
          </w:tcPr>
          <w:p>
            <w:pPr>
              <w:rPr>
                <w:rFonts w:asciiTheme="minorEastAsia" w:hAnsiTheme="minorEastAsia" w:eastAsiaTheme="minorEastAsia" w:cstheme="minorEastAsia"/>
                <w:kern w:val="0"/>
                <w:sz w:val="21"/>
                <w:szCs w:val="21"/>
              </w:rPr>
            </w:pPr>
          </w:p>
        </w:tc>
        <w:tc>
          <w:tcPr>
            <w:tcW w:w="1792" w:type="dxa"/>
            <w:vMerge w:val="continue"/>
          </w:tcPr>
          <w:p>
            <w:pPr>
              <w:rPr>
                <w:rFonts w:asciiTheme="minorEastAsia" w:hAnsiTheme="minorEastAsia" w:eastAsiaTheme="minorEastAsia" w:cstheme="minorEastAsia"/>
                <w:kern w:val="0"/>
                <w:sz w:val="21"/>
                <w:szCs w:val="21"/>
              </w:rPr>
            </w:pPr>
          </w:p>
        </w:tc>
        <w:tc>
          <w:tcPr>
            <w:tcW w:w="1470" w:type="dxa"/>
            <w:gridSpan w:val="2"/>
            <w:vMerge w:val="continue"/>
          </w:tcPr>
          <w:p>
            <w:pPr>
              <w:rPr>
                <w:rFonts w:asciiTheme="minorEastAsia" w:hAnsiTheme="minorEastAsia" w:eastAsiaTheme="minorEastAsia" w:cstheme="minorEastAsia"/>
                <w:kern w:val="0"/>
                <w:sz w:val="21"/>
                <w:szCs w:val="21"/>
              </w:rPr>
            </w:pPr>
          </w:p>
        </w:tc>
        <w:tc>
          <w:tcPr>
            <w:tcW w:w="5369" w:type="dxa"/>
            <w:gridSpan w:val="2"/>
            <w:vMerge w:val="continue"/>
          </w:tcPr>
          <w:p>
            <w:pPr>
              <w:rPr>
                <w:rFonts w:asciiTheme="minorEastAsia" w:hAnsiTheme="minorEastAsia" w:eastAsiaTheme="minorEastAsia" w:cstheme="minorEastAsia"/>
                <w:kern w:val="0"/>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81" w:hRule="atLeast"/>
        </w:trPr>
        <w:tc>
          <w:tcPr>
            <w:tcW w:w="667" w:type="dxa"/>
            <w:tcBorders>
              <w:top w:val="single" w:color="auto" w:sz="4" w:space="0"/>
              <w:bottom w:val="single" w:color="auto" w:sz="4" w:space="0"/>
            </w:tcBorders>
          </w:tcPr>
          <w:p>
            <w:pP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w:t>
            </w:r>
          </w:p>
        </w:tc>
        <w:tc>
          <w:tcPr>
            <w:tcW w:w="1138" w:type="dxa"/>
            <w:tcBorders>
              <w:top w:val="single" w:color="auto" w:sz="4" w:space="0"/>
              <w:bottom w:val="single" w:color="auto" w:sz="4" w:space="0"/>
              <w:right w:val="single" w:color="auto" w:sz="4" w:space="0"/>
            </w:tcBorders>
            <w:vAlign w:val="center"/>
          </w:tcPr>
          <w:p>
            <w:pPr>
              <w:widowControl/>
              <w:jc w:val="center"/>
              <w:textAlignment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对互联网上网服务营业场所经营单位从事互联网上网服务经营活动的行政检查</w:t>
            </w:r>
          </w:p>
        </w:tc>
        <w:tc>
          <w:tcPr>
            <w:tcW w:w="995" w:type="dxa"/>
            <w:tcBorders>
              <w:top w:val="single" w:color="auto" w:sz="4" w:space="0"/>
              <w:left w:val="single" w:color="auto" w:sz="4" w:space="0"/>
              <w:bottom w:val="single" w:color="auto" w:sz="4" w:space="0"/>
            </w:tcBorders>
            <w:vAlign w:val="center"/>
          </w:tcPr>
          <w:p>
            <w:pPr>
              <w:jc w:val="center"/>
              <w:rPr>
                <w:rFonts w:cs="Arial" w:asciiTheme="minorEastAsia" w:hAnsiTheme="minorEastAsia" w:eastAsiaTheme="minorEastAsia"/>
                <w:kern w:val="0"/>
                <w:sz w:val="21"/>
                <w:szCs w:val="21"/>
              </w:rPr>
            </w:pPr>
            <w:r>
              <w:rPr>
                <w:rFonts w:hint="eastAsia" w:cs="Arial" w:asciiTheme="minorEastAsia" w:hAnsiTheme="minorEastAsia" w:eastAsiaTheme="minorEastAsia"/>
                <w:kern w:val="0"/>
                <w:sz w:val="21"/>
                <w:szCs w:val="21"/>
              </w:rPr>
              <w:t>互联网上网服务营业场所经营单位从事互联网上网服务经营活动</w:t>
            </w:r>
          </w:p>
          <w:p>
            <w:pPr>
              <w:widowControl/>
              <w:jc w:val="center"/>
              <w:textAlignment w:val="center"/>
              <w:rPr>
                <w:rFonts w:asciiTheme="minorEastAsia" w:hAnsiTheme="minorEastAsia" w:eastAsiaTheme="minorEastAsia" w:cstheme="minorEastAsia"/>
                <w:kern w:val="0"/>
                <w:sz w:val="21"/>
                <w:szCs w:val="21"/>
              </w:rPr>
            </w:pPr>
          </w:p>
        </w:tc>
        <w:tc>
          <w:tcPr>
            <w:tcW w:w="1701" w:type="dxa"/>
            <w:tcBorders>
              <w:top w:val="single" w:color="auto" w:sz="4" w:space="0"/>
              <w:bottom w:val="single" w:color="auto" w:sz="4" w:space="0"/>
            </w:tcBorders>
            <w:vAlign w:val="center"/>
          </w:tcPr>
          <w:p>
            <w:pPr>
              <w:widowControl/>
              <w:jc w:val="center"/>
              <w:textAlignment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服务营业场所经营单位</w:t>
            </w:r>
          </w:p>
        </w:tc>
        <w:tc>
          <w:tcPr>
            <w:tcW w:w="1561" w:type="dxa"/>
            <w:tcBorders>
              <w:top w:val="single" w:color="auto" w:sz="4" w:space="0"/>
              <w:bottom w:val="single" w:color="auto" w:sz="4" w:space="0"/>
            </w:tcBorders>
          </w:tcPr>
          <w:p>
            <w:pPr>
              <w:rPr>
                <w:rFonts w:hint="eastAsia" w:cs="Arial" w:asciiTheme="minorEastAsia" w:hAnsiTheme="minorEastAsia"/>
                <w:kern w:val="0"/>
                <w:sz w:val="21"/>
                <w:szCs w:val="21"/>
                <w:lang w:val="en-US" w:eastAsia="zh-CN"/>
              </w:rPr>
            </w:pPr>
            <w:r>
              <w:rPr>
                <w:rFonts w:hint="eastAsia" w:cs="Arial" w:asciiTheme="minorEastAsia" w:hAnsiTheme="minorEastAsia"/>
                <w:kern w:val="0"/>
                <w:sz w:val="21"/>
                <w:szCs w:val="21"/>
                <w:lang w:val="en-US" w:eastAsia="zh-CN"/>
              </w:rPr>
              <w:t>日常检查</w:t>
            </w:r>
          </w:p>
          <w:p>
            <w:pPr>
              <w:rPr>
                <w:rFonts w:hint="eastAsia" w:cs="Arial" w:asciiTheme="minorEastAsia" w:hAnsiTheme="minorEastAsia"/>
                <w:kern w:val="0"/>
                <w:sz w:val="21"/>
                <w:szCs w:val="21"/>
                <w:lang w:val="en-US" w:eastAsia="zh-CN"/>
              </w:rPr>
            </w:pPr>
            <w:r>
              <w:rPr>
                <w:rFonts w:hint="eastAsia" w:cs="Arial" w:asciiTheme="minorEastAsia" w:hAnsiTheme="minorEastAsia"/>
                <w:kern w:val="0"/>
                <w:sz w:val="21"/>
                <w:szCs w:val="21"/>
                <w:lang w:val="en-US" w:eastAsia="zh-CN"/>
              </w:rPr>
              <w:t>专项检查</w:t>
            </w:r>
          </w:p>
          <w:p>
            <w:pPr>
              <w:rPr>
                <w:rFonts w:asciiTheme="minorEastAsia" w:hAnsiTheme="minorEastAsia" w:eastAsiaTheme="minorEastAsia" w:cstheme="minorEastAsia"/>
                <w:kern w:val="0"/>
                <w:sz w:val="21"/>
                <w:szCs w:val="21"/>
              </w:rPr>
            </w:pPr>
          </w:p>
        </w:tc>
        <w:tc>
          <w:tcPr>
            <w:tcW w:w="1792" w:type="dxa"/>
            <w:tcBorders>
              <w:top w:val="single" w:color="auto" w:sz="4" w:space="0"/>
              <w:bottom w:val="single" w:color="auto" w:sz="4" w:space="0"/>
            </w:tcBorders>
          </w:tcPr>
          <w:p>
            <w:pPr>
              <w:rPr>
                <w:rFonts w:asciiTheme="minorEastAsia" w:hAnsiTheme="minorEastAsia" w:eastAsiaTheme="minorEastAsia" w:cstheme="minorEastAsia"/>
                <w:kern w:val="0"/>
                <w:sz w:val="21"/>
                <w:szCs w:val="21"/>
              </w:rPr>
            </w:pPr>
            <w:r>
              <w:rPr>
                <w:rFonts w:hint="eastAsia" w:cs="Arial" w:asciiTheme="minorEastAsia" w:hAnsiTheme="minorEastAsia" w:eastAsiaTheme="minorEastAsia"/>
                <w:kern w:val="0"/>
                <w:sz w:val="21"/>
                <w:szCs w:val="21"/>
              </w:rPr>
              <w:t>1.“双随机、一公开”监管；2.重点监管；3.信用监管；4.非现场监管。</w:t>
            </w:r>
          </w:p>
        </w:tc>
        <w:tc>
          <w:tcPr>
            <w:tcW w:w="1470" w:type="dxa"/>
            <w:gridSpan w:val="2"/>
            <w:tcBorders>
              <w:top w:val="single" w:color="auto" w:sz="4" w:space="0"/>
              <w:bottom w:val="single" w:color="auto" w:sz="4" w:space="0"/>
            </w:tcBorders>
          </w:tcPr>
          <w:p>
            <w:pPr>
              <w:rPr>
                <w:rFonts w:hint="eastAsia" w:asciiTheme="minorEastAsia" w:hAnsiTheme="minorEastAsia" w:eastAsiaTheme="minorEastAsia" w:cstheme="minorEastAsia"/>
                <w:kern w:val="0"/>
                <w:sz w:val="21"/>
                <w:szCs w:val="21"/>
                <w:lang w:eastAsia="zh-CN"/>
              </w:rPr>
            </w:pPr>
            <w:r>
              <w:rPr>
                <w:rFonts w:hint="eastAsia" w:asciiTheme="minorEastAsia" w:hAnsiTheme="minorEastAsia" w:eastAsiaTheme="minorEastAsia" w:cstheme="minorEastAsia"/>
                <w:kern w:val="0"/>
                <w:sz w:val="21"/>
                <w:szCs w:val="21"/>
              </w:rPr>
              <w:t>内乡县</w:t>
            </w:r>
            <w:r>
              <w:rPr>
                <w:rFonts w:hint="eastAsia" w:asciiTheme="minorEastAsia" w:hAnsiTheme="minorEastAsia" w:cstheme="minorEastAsia"/>
                <w:kern w:val="0"/>
                <w:sz w:val="21"/>
                <w:szCs w:val="21"/>
                <w:lang w:eastAsia="zh-CN"/>
              </w:rPr>
              <w:t>文化广电和旅游局</w:t>
            </w:r>
          </w:p>
        </w:tc>
        <w:tc>
          <w:tcPr>
            <w:tcW w:w="5369" w:type="dxa"/>
            <w:gridSpan w:val="2"/>
            <w:tcBorders>
              <w:top w:val="single" w:color="auto" w:sz="4" w:space="0"/>
              <w:bottom w:val="single" w:color="auto" w:sz="4" w:space="0"/>
            </w:tcBorders>
          </w:tcPr>
          <w:p>
            <w:pPr>
              <w:rPr>
                <w:rFonts w:cs="Arial" w:asciiTheme="minorEastAsia" w:hAnsiTheme="minorEastAsia" w:eastAsiaTheme="minorEastAsia"/>
                <w:kern w:val="0"/>
                <w:sz w:val="21"/>
                <w:szCs w:val="21"/>
              </w:rPr>
            </w:pPr>
            <w:r>
              <w:rPr>
                <w:rFonts w:hint="eastAsia" w:cs="Arial" w:asciiTheme="minorEastAsia" w:hAnsiTheme="minorEastAsia" w:eastAsiaTheme="minorEastAsia"/>
                <w:kern w:val="0"/>
                <w:sz w:val="21"/>
                <w:szCs w:val="21"/>
              </w:rPr>
              <w:t>《互联网上网服务营业场所管理条例》第四条：“县级以上人民政府文化行政部门负责互联网上网服务营业场所经营单位的设立审批，并负责对依法设立的互联网上网服务营业场所经营单位经营活动的监督管理；公安机关负责对互联网上网服务营业场所经营单位的信息网络安全、治安及消防安全的监督管理；工商行政管理部门负责对互联网上网服务营业场所经营单位登记注册和营业执照的管理，并依法查处无照经营活动；电信管理等其他有关部门在各自职责范围内，依照本条例和有关法律、行政法规的规定，对互联网上网服务营业场所经营单位分别实施有关监督管理。”</w:t>
            </w:r>
            <w:r>
              <w:rPr>
                <w:rFonts w:cs="Arial" w:asciiTheme="minorEastAsia" w:hAnsiTheme="minorEastAsia" w:eastAsiaTheme="minorEastAsia"/>
                <w:kern w:val="0"/>
                <w:sz w:val="21"/>
                <w:szCs w:val="21"/>
              </w:rPr>
              <w:t>。</w:t>
            </w:r>
          </w:p>
          <w:p>
            <w:pPr>
              <w:rPr>
                <w:rFonts w:asciiTheme="minorEastAsia" w:hAnsiTheme="minorEastAsia" w:eastAsiaTheme="minorEastAsia" w:cstheme="minorEastAsia"/>
                <w:kern w:val="0"/>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555" w:hRule="atLeast"/>
        </w:trPr>
        <w:tc>
          <w:tcPr>
            <w:tcW w:w="667" w:type="dxa"/>
            <w:vMerge w:val="restart"/>
          </w:tcPr>
          <w:p>
            <w:pP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cstheme="minorEastAsia"/>
                <w:kern w:val="0"/>
                <w:sz w:val="21"/>
                <w:szCs w:val="21"/>
                <w:lang w:val="en-US" w:eastAsia="zh-CN"/>
              </w:rPr>
              <w:t>2</w:t>
            </w:r>
          </w:p>
        </w:tc>
        <w:tc>
          <w:tcPr>
            <w:tcW w:w="1138" w:type="dxa"/>
            <w:tcBorders>
              <w:top w:val="single" w:color="auto" w:sz="4" w:space="0"/>
              <w:bottom w:val="single" w:color="auto" w:sz="4" w:space="0"/>
              <w:right w:val="single" w:color="auto" w:sz="4" w:space="0"/>
            </w:tcBorders>
          </w:tcPr>
          <w:p>
            <w:pPr>
              <w:rPr>
                <w:rFonts w:asciiTheme="minorEastAsia" w:hAnsiTheme="minorEastAsia" w:eastAsiaTheme="minorEastAsia" w:cstheme="minorEastAsia"/>
                <w:kern w:val="0"/>
                <w:sz w:val="21"/>
                <w:szCs w:val="21"/>
              </w:rPr>
            </w:pPr>
            <w:r>
              <w:rPr>
                <w:rFonts w:hint="eastAsia" w:cs="Arial" w:asciiTheme="minorEastAsia" w:hAnsiTheme="minorEastAsia" w:eastAsiaTheme="minorEastAsia"/>
                <w:kern w:val="0"/>
                <w:sz w:val="21"/>
                <w:szCs w:val="21"/>
              </w:rPr>
              <w:t>对社会艺术水平考级机构开展考级活动的监管</w:t>
            </w:r>
          </w:p>
        </w:tc>
        <w:tc>
          <w:tcPr>
            <w:tcW w:w="995" w:type="dxa"/>
            <w:tcBorders>
              <w:top w:val="single" w:color="auto" w:sz="4" w:space="0"/>
              <w:left w:val="single" w:color="auto" w:sz="4" w:space="0"/>
              <w:bottom w:val="single" w:color="auto" w:sz="4" w:space="0"/>
            </w:tcBorders>
          </w:tcPr>
          <w:p>
            <w:pPr>
              <w:rPr>
                <w:rFonts w:asciiTheme="minorEastAsia" w:hAnsiTheme="minorEastAsia" w:eastAsiaTheme="minorEastAsia" w:cstheme="minorEastAsia"/>
                <w:kern w:val="0"/>
                <w:sz w:val="21"/>
                <w:szCs w:val="21"/>
              </w:rPr>
            </w:pPr>
            <w:r>
              <w:rPr>
                <w:rFonts w:hint="eastAsia" w:cs="宋体" w:asciiTheme="minorEastAsia" w:hAnsiTheme="minorEastAsia" w:eastAsiaTheme="minorEastAsia"/>
                <w:kern w:val="0"/>
                <w:sz w:val="21"/>
                <w:szCs w:val="21"/>
              </w:rPr>
              <w:t>对社会艺术水平考级机构备案行为的行政检查</w:t>
            </w:r>
          </w:p>
        </w:tc>
        <w:tc>
          <w:tcPr>
            <w:tcW w:w="1701" w:type="dxa"/>
            <w:tcBorders>
              <w:top w:val="single" w:color="auto" w:sz="4" w:space="0"/>
              <w:bottom w:val="single" w:color="auto" w:sz="4" w:space="0"/>
            </w:tcBorders>
          </w:tcPr>
          <w:p>
            <w:pPr>
              <w:rPr>
                <w:rFonts w:asciiTheme="minorEastAsia" w:hAnsiTheme="minorEastAsia" w:eastAsiaTheme="minorEastAsia" w:cstheme="minorEastAsia"/>
                <w:kern w:val="0"/>
                <w:sz w:val="21"/>
                <w:szCs w:val="21"/>
              </w:rPr>
            </w:pPr>
            <w:r>
              <w:rPr>
                <w:rFonts w:hint="eastAsia" w:cs="Arial" w:asciiTheme="minorEastAsia" w:hAnsiTheme="minorEastAsia" w:eastAsiaTheme="minorEastAsia"/>
                <w:kern w:val="0"/>
                <w:sz w:val="21"/>
                <w:szCs w:val="21"/>
              </w:rPr>
              <w:t>社会艺术水平考级机构</w:t>
            </w:r>
          </w:p>
        </w:tc>
        <w:tc>
          <w:tcPr>
            <w:tcW w:w="1561" w:type="dxa"/>
            <w:tcBorders>
              <w:top w:val="single" w:color="auto" w:sz="4" w:space="0"/>
              <w:bottom w:val="single" w:color="auto" w:sz="4" w:space="0"/>
            </w:tcBorders>
          </w:tcPr>
          <w:p>
            <w:pPr>
              <w:rPr>
                <w:rFonts w:hint="eastAsia" w:cs="Arial" w:asciiTheme="minorEastAsia" w:hAnsiTheme="minorEastAsia"/>
                <w:kern w:val="0"/>
                <w:sz w:val="21"/>
                <w:szCs w:val="21"/>
                <w:lang w:val="en-US" w:eastAsia="zh-CN"/>
              </w:rPr>
            </w:pPr>
            <w:r>
              <w:rPr>
                <w:rFonts w:hint="eastAsia" w:cs="Arial" w:asciiTheme="minorEastAsia" w:hAnsiTheme="minorEastAsia"/>
                <w:kern w:val="0"/>
                <w:sz w:val="21"/>
                <w:szCs w:val="21"/>
                <w:lang w:val="en-US" w:eastAsia="zh-CN"/>
              </w:rPr>
              <w:t>日常检查</w:t>
            </w:r>
          </w:p>
          <w:p>
            <w:pPr>
              <w:rPr>
                <w:rFonts w:hint="eastAsia" w:cs="Arial" w:asciiTheme="minorEastAsia" w:hAnsiTheme="minorEastAsia"/>
                <w:kern w:val="0"/>
                <w:sz w:val="21"/>
                <w:szCs w:val="21"/>
                <w:lang w:val="en-US" w:eastAsia="zh-CN"/>
              </w:rPr>
            </w:pPr>
            <w:r>
              <w:rPr>
                <w:rFonts w:hint="eastAsia" w:cs="Arial" w:asciiTheme="minorEastAsia" w:hAnsiTheme="minorEastAsia"/>
                <w:kern w:val="0"/>
                <w:sz w:val="21"/>
                <w:szCs w:val="21"/>
                <w:lang w:val="en-US" w:eastAsia="zh-CN"/>
              </w:rPr>
              <w:t>专项检查</w:t>
            </w:r>
          </w:p>
          <w:p>
            <w:pPr>
              <w:rPr>
                <w:rFonts w:asciiTheme="minorEastAsia" w:hAnsiTheme="minorEastAsia" w:eastAsiaTheme="minorEastAsia" w:cstheme="minorEastAsia"/>
                <w:kern w:val="0"/>
                <w:sz w:val="21"/>
                <w:szCs w:val="21"/>
              </w:rPr>
            </w:pPr>
          </w:p>
        </w:tc>
        <w:tc>
          <w:tcPr>
            <w:tcW w:w="1792" w:type="dxa"/>
            <w:tcBorders>
              <w:top w:val="single" w:color="auto" w:sz="4" w:space="0"/>
              <w:bottom w:val="single" w:color="auto" w:sz="4" w:space="0"/>
            </w:tcBorders>
          </w:tcPr>
          <w:p>
            <w:pPr>
              <w:rPr>
                <w:rFonts w:asciiTheme="minorEastAsia" w:hAnsiTheme="minorEastAsia" w:eastAsiaTheme="minorEastAsia" w:cstheme="minorEastAsia"/>
                <w:kern w:val="0"/>
                <w:sz w:val="21"/>
                <w:szCs w:val="21"/>
              </w:rPr>
            </w:pPr>
            <w:r>
              <w:rPr>
                <w:rFonts w:hint="eastAsia" w:cs="Arial" w:asciiTheme="minorEastAsia" w:hAnsiTheme="minorEastAsia" w:eastAsiaTheme="minorEastAsia"/>
                <w:kern w:val="0"/>
                <w:sz w:val="21"/>
                <w:szCs w:val="21"/>
              </w:rPr>
              <w:t>1.重点监管；2.非现场监管。</w:t>
            </w:r>
          </w:p>
        </w:tc>
        <w:tc>
          <w:tcPr>
            <w:tcW w:w="1470" w:type="dxa"/>
            <w:gridSpan w:val="2"/>
            <w:tcBorders>
              <w:top w:val="single" w:color="auto" w:sz="4" w:space="0"/>
              <w:bottom w:val="single" w:color="auto" w:sz="4" w:space="0"/>
            </w:tcBorders>
          </w:tcPr>
          <w:p>
            <w:pP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内乡县</w:t>
            </w:r>
            <w:r>
              <w:rPr>
                <w:rFonts w:hint="eastAsia" w:asciiTheme="minorEastAsia" w:hAnsiTheme="minorEastAsia" w:cstheme="minorEastAsia"/>
                <w:kern w:val="0"/>
                <w:sz w:val="21"/>
                <w:szCs w:val="21"/>
                <w:lang w:eastAsia="zh-CN"/>
              </w:rPr>
              <w:t>文化广电和旅游局</w:t>
            </w:r>
          </w:p>
        </w:tc>
        <w:tc>
          <w:tcPr>
            <w:tcW w:w="5369" w:type="dxa"/>
            <w:gridSpan w:val="2"/>
            <w:tcBorders>
              <w:top w:val="single" w:color="auto" w:sz="4" w:space="0"/>
              <w:bottom w:val="single" w:color="auto" w:sz="4" w:space="0"/>
            </w:tcBorders>
          </w:tcPr>
          <w:p>
            <w:pPr>
              <w:rPr>
                <w:rFonts w:asciiTheme="minorEastAsia" w:hAnsiTheme="minorEastAsia" w:eastAsiaTheme="minorEastAsia" w:cstheme="minorEastAsia"/>
                <w:kern w:val="0"/>
                <w:sz w:val="21"/>
                <w:szCs w:val="21"/>
              </w:rPr>
            </w:pPr>
            <w:r>
              <w:rPr>
                <w:rFonts w:hint="eastAsia" w:cs="宋体" w:asciiTheme="minorEastAsia" w:hAnsiTheme="minorEastAsia" w:eastAsiaTheme="minorEastAsia"/>
                <w:kern w:val="0"/>
                <w:sz w:val="21"/>
                <w:szCs w:val="21"/>
              </w:rPr>
              <w:t>《社会艺术水平考级管理办法》（令第31号）第十一条：“艺术考级机构主要负责人、办公地点有变动的，应当自变动之日起20日内，报审批机关备案。”《社会艺术水平考级管理办法》（令第31号）第十七条：“艺术考级机构委托承办单位承办艺术考级活动的，应当自合作协议生效之日起20日内，将承办单位的基本情况和合作协议报审批机关及承办单位所在地县级以上文化行政部门备案，同时抄送文化市场综合执法机构。”《社会艺术水平考级管理办法》（令第31号）第十八条：“艺术考级机构应当在开展艺术考级活动5日前，将考级简章、考级时间、考级地点、考生数量、考场安排、考官名单等情况报审批机关和艺术考级活动所在地县级以上文化行政部门备案，同时抄送文化市场综合执法机构。”《社会艺术水平考级管理办法》（令第31号）第二十三条：“考生通过所报艺术专业级别考试的，由艺术考级机构发给相应级别的艺术考级证书。艺术考级机构应当自每次艺术考级活动结束之日起60日内将考级结果报审批机关备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179" w:hRule="atLeast"/>
        </w:trPr>
        <w:tc>
          <w:tcPr>
            <w:tcW w:w="667" w:type="dxa"/>
            <w:vMerge w:val="continue"/>
            <w:tcBorders>
              <w:bottom w:val="single" w:color="auto" w:sz="4" w:space="0"/>
            </w:tcBorders>
          </w:tcPr>
          <w:p>
            <w:pPr>
              <w:rPr>
                <w:rFonts w:asciiTheme="minorEastAsia" w:hAnsiTheme="minorEastAsia" w:eastAsiaTheme="minorEastAsia" w:cstheme="minorEastAsia"/>
                <w:kern w:val="0"/>
                <w:sz w:val="21"/>
                <w:szCs w:val="21"/>
              </w:rPr>
            </w:pPr>
          </w:p>
        </w:tc>
        <w:tc>
          <w:tcPr>
            <w:tcW w:w="1138" w:type="dxa"/>
            <w:tcBorders>
              <w:top w:val="single" w:color="auto" w:sz="4" w:space="0"/>
              <w:bottom w:val="single" w:color="auto" w:sz="4" w:space="0"/>
              <w:right w:val="single" w:color="auto" w:sz="4" w:space="0"/>
            </w:tcBorders>
          </w:tcPr>
          <w:p>
            <w:pPr>
              <w:rPr>
                <w:rFonts w:asciiTheme="minorEastAsia" w:hAnsiTheme="minorEastAsia" w:eastAsiaTheme="minorEastAsia" w:cstheme="minorEastAsia"/>
                <w:kern w:val="0"/>
                <w:sz w:val="21"/>
                <w:szCs w:val="21"/>
              </w:rPr>
            </w:pPr>
            <w:r>
              <w:rPr>
                <w:rFonts w:hint="eastAsia" w:cs="宋体" w:asciiTheme="minorEastAsia" w:hAnsiTheme="minorEastAsia" w:eastAsiaTheme="minorEastAsia"/>
                <w:kern w:val="0"/>
                <w:sz w:val="21"/>
                <w:szCs w:val="21"/>
              </w:rPr>
              <w:t>对社会艺术水平考级机构开展考级活动的监管</w:t>
            </w:r>
          </w:p>
        </w:tc>
        <w:tc>
          <w:tcPr>
            <w:tcW w:w="995" w:type="dxa"/>
            <w:tcBorders>
              <w:top w:val="single" w:color="auto" w:sz="4" w:space="0"/>
              <w:left w:val="single" w:color="auto" w:sz="4" w:space="0"/>
              <w:bottom w:val="single" w:color="auto" w:sz="4" w:space="0"/>
            </w:tcBorders>
          </w:tcPr>
          <w:p>
            <w:pPr>
              <w:rPr>
                <w:rFonts w:asciiTheme="minorEastAsia" w:hAnsiTheme="minorEastAsia" w:eastAsiaTheme="minorEastAsia" w:cstheme="minorEastAsia"/>
                <w:kern w:val="0"/>
                <w:sz w:val="21"/>
                <w:szCs w:val="21"/>
              </w:rPr>
            </w:pPr>
            <w:r>
              <w:rPr>
                <w:rFonts w:hint="eastAsia" w:cs="宋体" w:asciiTheme="minorEastAsia" w:hAnsiTheme="minorEastAsia" w:eastAsiaTheme="minorEastAsia"/>
                <w:kern w:val="0"/>
                <w:sz w:val="21"/>
                <w:szCs w:val="21"/>
              </w:rPr>
              <w:t>对社会艺术水平考级机构规范开展考级活动的行政检查</w:t>
            </w:r>
          </w:p>
        </w:tc>
        <w:tc>
          <w:tcPr>
            <w:tcW w:w="1701" w:type="dxa"/>
            <w:tcBorders>
              <w:top w:val="single" w:color="auto" w:sz="4" w:space="0"/>
              <w:bottom w:val="single" w:color="auto" w:sz="4" w:space="0"/>
            </w:tcBorders>
            <w:vAlign w:val="center"/>
          </w:tcPr>
          <w:p>
            <w:pPr>
              <w:widowControl/>
              <w:jc w:val="left"/>
              <w:rPr>
                <w:rFonts w:asciiTheme="minorEastAsia" w:hAnsiTheme="minorEastAsia" w:eastAsiaTheme="minorEastAsia" w:cstheme="minorEastAsia"/>
                <w:kern w:val="0"/>
                <w:sz w:val="21"/>
                <w:szCs w:val="21"/>
              </w:rPr>
            </w:pPr>
            <w:r>
              <w:rPr>
                <w:rFonts w:hint="eastAsia" w:cs="宋体" w:asciiTheme="minorEastAsia" w:hAnsiTheme="minorEastAsia" w:eastAsiaTheme="minorEastAsia"/>
                <w:kern w:val="0"/>
                <w:sz w:val="21"/>
                <w:szCs w:val="21"/>
              </w:rPr>
              <w:t>社会艺术水平考级机构</w:t>
            </w:r>
          </w:p>
        </w:tc>
        <w:tc>
          <w:tcPr>
            <w:tcW w:w="1561" w:type="dxa"/>
            <w:tcBorders>
              <w:top w:val="single" w:color="auto" w:sz="4" w:space="0"/>
              <w:bottom w:val="single" w:color="auto" w:sz="4" w:space="0"/>
            </w:tcBorders>
          </w:tcPr>
          <w:p>
            <w:pPr>
              <w:rPr>
                <w:rFonts w:hint="eastAsia" w:cs="Arial" w:asciiTheme="minorEastAsia" w:hAnsiTheme="minorEastAsia"/>
                <w:kern w:val="0"/>
                <w:sz w:val="21"/>
                <w:szCs w:val="21"/>
                <w:lang w:val="en-US" w:eastAsia="zh-CN"/>
              </w:rPr>
            </w:pPr>
            <w:r>
              <w:rPr>
                <w:rFonts w:hint="eastAsia" w:cs="Arial" w:asciiTheme="minorEastAsia" w:hAnsiTheme="minorEastAsia"/>
                <w:kern w:val="0"/>
                <w:sz w:val="21"/>
                <w:szCs w:val="21"/>
                <w:lang w:val="en-US" w:eastAsia="zh-CN"/>
              </w:rPr>
              <w:t>日常检查</w:t>
            </w:r>
          </w:p>
          <w:p>
            <w:pPr>
              <w:rPr>
                <w:rFonts w:hint="eastAsia" w:cs="Arial" w:asciiTheme="minorEastAsia" w:hAnsiTheme="minorEastAsia"/>
                <w:kern w:val="0"/>
                <w:sz w:val="21"/>
                <w:szCs w:val="21"/>
                <w:lang w:val="en-US" w:eastAsia="zh-CN"/>
              </w:rPr>
            </w:pPr>
            <w:r>
              <w:rPr>
                <w:rFonts w:hint="eastAsia" w:cs="Arial" w:asciiTheme="minorEastAsia" w:hAnsiTheme="minorEastAsia"/>
                <w:kern w:val="0"/>
                <w:sz w:val="21"/>
                <w:szCs w:val="21"/>
                <w:lang w:val="en-US" w:eastAsia="zh-CN"/>
              </w:rPr>
              <w:t>专项检查</w:t>
            </w:r>
          </w:p>
          <w:p>
            <w:pPr>
              <w:rPr>
                <w:rFonts w:asciiTheme="minorEastAsia" w:hAnsiTheme="minorEastAsia" w:eastAsiaTheme="minorEastAsia" w:cstheme="minorEastAsia"/>
                <w:kern w:val="0"/>
                <w:sz w:val="21"/>
                <w:szCs w:val="21"/>
              </w:rPr>
            </w:pPr>
          </w:p>
        </w:tc>
        <w:tc>
          <w:tcPr>
            <w:tcW w:w="1792" w:type="dxa"/>
            <w:tcBorders>
              <w:top w:val="single" w:color="auto" w:sz="4" w:space="0"/>
              <w:bottom w:val="single" w:color="auto" w:sz="4" w:space="0"/>
            </w:tcBorders>
          </w:tcPr>
          <w:p>
            <w:pPr>
              <w:rPr>
                <w:rFonts w:asciiTheme="minorEastAsia" w:hAnsiTheme="minorEastAsia" w:eastAsiaTheme="minorEastAsia" w:cstheme="minorEastAsia"/>
                <w:kern w:val="0"/>
                <w:sz w:val="21"/>
                <w:szCs w:val="21"/>
              </w:rPr>
            </w:pPr>
            <w:r>
              <w:rPr>
                <w:rFonts w:hint="eastAsia" w:cs="Arial" w:asciiTheme="minorEastAsia" w:hAnsiTheme="minorEastAsia" w:eastAsiaTheme="minorEastAsia"/>
                <w:kern w:val="0"/>
                <w:sz w:val="21"/>
                <w:szCs w:val="21"/>
              </w:rPr>
              <w:t>1.重点监管；2.非现场监管</w:t>
            </w:r>
          </w:p>
        </w:tc>
        <w:tc>
          <w:tcPr>
            <w:tcW w:w="1470" w:type="dxa"/>
            <w:gridSpan w:val="2"/>
            <w:tcBorders>
              <w:top w:val="single" w:color="auto" w:sz="4" w:space="0"/>
              <w:bottom w:val="single" w:color="auto" w:sz="4" w:space="0"/>
            </w:tcBorders>
          </w:tcPr>
          <w:p>
            <w:pP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内乡县</w:t>
            </w:r>
            <w:r>
              <w:rPr>
                <w:rFonts w:hint="eastAsia" w:asciiTheme="minorEastAsia" w:hAnsiTheme="minorEastAsia" w:cstheme="minorEastAsia"/>
                <w:kern w:val="0"/>
                <w:sz w:val="21"/>
                <w:szCs w:val="21"/>
                <w:lang w:eastAsia="zh-CN"/>
              </w:rPr>
              <w:t>文化广电和旅游局</w:t>
            </w:r>
          </w:p>
        </w:tc>
        <w:tc>
          <w:tcPr>
            <w:tcW w:w="5369" w:type="dxa"/>
            <w:gridSpan w:val="2"/>
            <w:tcBorders>
              <w:top w:val="single" w:color="auto" w:sz="4" w:space="0"/>
              <w:bottom w:val="single" w:color="auto" w:sz="4" w:space="0"/>
            </w:tcBorders>
          </w:tcPr>
          <w:p>
            <w:pPr>
              <w:rPr>
                <w:rFonts w:asciiTheme="minorEastAsia" w:hAnsiTheme="minorEastAsia" w:eastAsiaTheme="minorEastAsia" w:cstheme="minorEastAsia"/>
                <w:kern w:val="0"/>
                <w:sz w:val="21"/>
                <w:szCs w:val="21"/>
              </w:rPr>
            </w:pPr>
            <w:r>
              <w:rPr>
                <w:rFonts w:hint="eastAsia" w:cs="宋体" w:asciiTheme="minorEastAsia" w:hAnsiTheme="minorEastAsia" w:eastAsiaTheme="minorEastAsia"/>
                <w:kern w:val="0"/>
                <w:sz w:val="21"/>
                <w:szCs w:val="21"/>
              </w:rPr>
              <w:t>《社会艺术水平考级管理办法》（令第31号）第十四条：“艺术考级机构必须组建常设工作机构，配备专职工作人员，按照核准的艺术考级专业组织艺术考级活动。”《社会艺术水平考级管理办法》（令第31号）第十五条：“艺术考级机构应当在组织艺术考级前向社会发布考级简章。考级简章内容应当包括开考专业、设点范围、考级时间和地点、收费项目和标准等。”《社会艺术水平考级管理办法》（令第31号）第十六条：“艺术考级机构可以委托相关单位承办艺术考级活动。承办单位应当具备下列条件：（一）独立的法人资格；（二）从事艺术教育、艺术表演、艺术培训、艺术研究等与艺术考级专业相关的业务；（三）开展艺术考级活动必要的物质条件；（四）良好的社会信誉。艺术考级机构必须与承办单位签订合作协议，明确双方的权利和义务。承办单位必须在合作协议规定范围内，以艺术考级机构的名义组织艺术考级活动，艺术考级机构对承办单位与艺术考级有关的行为承担法律责任。”《社会艺术水平考级管理办法》（令第31号）第十九条：“艺术考级的内容应当按照本机构教材确定。”《社会艺术水平考级管理办法》（令第31号）第二十条：“考场内执考考官由艺术考级机构派遣。同一考场内至少应当有1名相关专业的考官。开展美术专业艺术考级的考级机构在考场内可以只派遣监考人员。”《社会艺术水平考级管理办法》（令第31号）第二十一条：“考官应当对考生的艺术水平作出评定，并提出指导性意见。”《社会艺术水平考级管理办法》（令第31号）第二十二条：“考场实行回避制度。与考生有亲属、师生等关系可能影响考试公正的考官，应主动回避。考生或未成年考生的监护人可以申请考官回避，经考场负责人核实后执行。应当回避而未回避的，经查证属实，考试结果无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280" w:hRule="atLeast"/>
        </w:trPr>
        <w:tc>
          <w:tcPr>
            <w:tcW w:w="667" w:type="dxa"/>
            <w:tcBorders>
              <w:top w:val="single" w:color="auto" w:sz="4" w:space="0"/>
              <w:bottom w:val="single" w:color="auto" w:sz="4" w:space="0"/>
            </w:tcBorders>
          </w:tcPr>
          <w:p>
            <w:pP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cstheme="minorEastAsia"/>
                <w:kern w:val="0"/>
                <w:sz w:val="21"/>
                <w:szCs w:val="21"/>
                <w:lang w:val="en-US" w:eastAsia="zh-CN"/>
              </w:rPr>
              <w:t>3</w:t>
            </w:r>
          </w:p>
        </w:tc>
        <w:tc>
          <w:tcPr>
            <w:tcW w:w="1138" w:type="dxa"/>
            <w:tcBorders>
              <w:top w:val="single" w:color="auto" w:sz="4" w:space="0"/>
              <w:bottom w:val="single" w:color="auto" w:sz="4" w:space="0"/>
              <w:right w:val="single" w:color="auto" w:sz="4" w:space="0"/>
            </w:tcBorders>
          </w:tcPr>
          <w:p>
            <w:pPr>
              <w:rPr>
                <w:rFonts w:asciiTheme="minorEastAsia" w:hAnsiTheme="minorEastAsia" w:eastAsiaTheme="minorEastAsia" w:cstheme="minorEastAsia"/>
                <w:kern w:val="0"/>
                <w:sz w:val="21"/>
                <w:szCs w:val="21"/>
              </w:rPr>
            </w:pPr>
            <w:r>
              <w:rPr>
                <w:rFonts w:hint="eastAsia" w:cs="宋体" w:asciiTheme="minorEastAsia" w:hAnsiTheme="minorEastAsia" w:eastAsiaTheme="minorEastAsia"/>
                <w:kern w:val="0"/>
                <w:sz w:val="21"/>
                <w:szCs w:val="21"/>
              </w:rPr>
              <w:t>对营业性演出市场监管</w:t>
            </w:r>
          </w:p>
        </w:tc>
        <w:tc>
          <w:tcPr>
            <w:tcW w:w="995" w:type="dxa"/>
            <w:tcBorders>
              <w:top w:val="single" w:color="auto" w:sz="4" w:space="0"/>
              <w:left w:val="single" w:color="auto" w:sz="4" w:space="0"/>
              <w:bottom w:val="single" w:color="auto" w:sz="4" w:space="0"/>
            </w:tcBorders>
          </w:tcPr>
          <w:p>
            <w:pPr>
              <w:rPr>
                <w:rFonts w:asciiTheme="minorEastAsia" w:hAnsiTheme="minorEastAsia" w:eastAsiaTheme="minorEastAsia" w:cstheme="minorEastAsia"/>
                <w:kern w:val="0"/>
                <w:sz w:val="21"/>
                <w:szCs w:val="21"/>
              </w:rPr>
            </w:pPr>
            <w:r>
              <w:rPr>
                <w:rFonts w:hint="eastAsia" w:cs="宋体" w:asciiTheme="minorEastAsia" w:hAnsiTheme="minorEastAsia" w:eastAsiaTheme="minorEastAsia"/>
                <w:kern w:val="0"/>
                <w:sz w:val="21"/>
                <w:szCs w:val="21"/>
              </w:rPr>
              <w:t>对营业性演出活动的行政检查</w:t>
            </w:r>
          </w:p>
        </w:tc>
        <w:tc>
          <w:tcPr>
            <w:tcW w:w="1701" w:type="dxa"/>
            <w:tcBorders>
              <w:top w:val="single" w:color="auto" w:sz="4" w:space="0"/>
              <w:bottom w:val="single" w:color="auto" w:sz="4" w:space="0"/>
            </w:tcBorders>
          </w:tcPr>
          <w:p>
            <w:pPr>
              <w:rPr>
                <w:rFonts w:asciiTheme="minorEastAsia" w:hAnsiTheme="minorEastAsia" w:eastAsiaTheme="minorEastAsia" w:cstheme="minorEastAsia"/>
                <w:kern w:val="0"/>
                <w:sz w:val="21"/>
                <w:szCs w:val="21"/>
              </w:rPr>
            </w:pPr>
            <w:r>
              <w:rPr>
                <w:rFonts w:hint="eastAsia" w:cs="宋体" w:asciiTheme="minorEastAsia" w:hAnsiTheme="minorEastAsia" w:eastAsiaTheme="minorEastAsia"/>
                <w:kern w:val="0"/>
                <w:sz w:val="21"/>
                <w:szCs w:val="21"/>
              </w:rPr>
              <w:t>营业性演出经营单位、个人</w:t>
            </w:r>
          </w:p>
        </w:tc>
        <w:tc>
          <w:tcPr>
            <w:tcW w:w="1561" w:type="dxa"/>
            <w:tcBorders>
              <w:top w:val="single" w:color="auto" w:sz="4" w:space="0"/>
              <w:bottom w:val="single" w:color="auto" w:sz="4" w:space="0"/>
            </w:tcBorders>
          </w:tcPr>
          <w:p>
            <w:pPr>
              <w:rPr>
                <w:rFonts w:hint="eastAsia" w:cs="Arial" w:asciiTheme="minorEastAsia" w:hAnsiTheme="minorEastAsia"/>
                <w:kern w:val="0"/>
                <w:sz w:val="21"/>
                <w:szCs w:val="21"/>
                <w:lang w:val="en-US" w:eastAsia="zh-CN"/>
              </w:rPr>
            </w:pPr>
            <w:r>
              <w:rPr>
                <w:rFonts w:hint="eastAsia" w:cs="Arial" w:asciiTheme="minorEastAsia" w:hAnsiTheme="minorEastAsia"/>
                <w:kern w:val="0"/>
                <w:sz w:val="21"/>
                <w:szCs w:val="21"/>
                <w:lang w:val="en-US" w:eastAsia="zh-CN"/>
              </w:rPr>
              <w:t>日常检查</w:t>
            </w:r>
          </w:p>
          <w:p>
            <w:pPr>
              <w:rPr>
                <w:rFonts w:hint="eastAsia" w:cs="Arial" w:asciiTheme="minorEastAsia" w:hAnsiTheme="minorEastAsia"/>
                <w:kern w:val="0"/>
                <w:sz w:val="21"/>
                <w:szCs w:val="21"/>
                <w:lang w:val="en-US" w:eastAsia="zh-CN"/>
              </w:rPr>
            </w:pPr>
            <w:r>
              <w:rPr>
                <w:rFonts w:hint="eastAsia" w:cs="Arial" w:asciiTheme="minorEastAsia" w:hAnsiTheme="minorEastAsia"/>
                <w:kern w:val="0"/>
                <w:sz w:val="21"/>
                <w:szCs w:val="21"/>
                <w:lang w:val="en-US" w:eastAsia="zh-CN"/>
              </w:rPr>
              <w:t>专项检查</w:t>
            </w:r>
          </w:p>
          <w:p>
            <w:pPr>
              <w:rPr>
                <w:rFonts w:asciiTheme="minorEastAsia" w:hAnsiTheme="minorEastAsia" w:eastAsiaTheme="minorEastAsia" w:cstheme="minorEastAsia"/>
                <w:kern w:val="0"/>
                <w:sz w:val="21"/>
                <w:szCs w:val="21"/>
              </w:rPr>
            </w:pPr>
          </w:p>
        </w:tc>
        <w:tc>
          <w:tcPr>
            <w:tcW w:w="1792" w:type="dxa"/>
            <w:tcBorders>
              <w:top w:val="single" w:color="auto" w:sz="4" w:space="0"/>
              <w:bottom w:val="single" w:color="auto" w:sz="4" w:space="0"/>
            </w:tcBorders>
          </w:tcPr>
          <w:p>
            <w:pPr>
              <w:rPr>
                <w:rFonts w:asciiTheme="minorEastAsia" w:hAnsiTheme="minorEastAsia" w:eastAsiaTheme="minorEastAsia" w:cstheme="minorEastAsia"/>
                <w:kern w:val="0"/>
                <w:sz w:val="21"/>
                <w:szCs w:val="21"/>
              </w:rPr>
            </w:pPr>
            <w:r>
              <w:rPr>
                <w:rFonts w:hint="eastAsia" w:cs="宋体" w:asciiTheme="minorEastAsia" w:hAnsiTheme="minorEastAsia" w:eastAsiaTheme="minorEastAsia"/>
                <w:kern w:val="0"/>
                <w:sz w:val="21"/>
                <w:szCs w:val="21"/>
              </w:rPr>
              <w:t>1.重点监管；2.信用监管；3.非现场监管。</w:t>
            </w:r>
          </w:p>
        </w:tc>
        <w:tc>
          <w:tcPr>
            <w:tcW w:w="1470" w:type="dxa"/>
            <w:gridSpan w:val="2"/>
            <w:tcBorders>
              <w:top w:val="single" w:color="auto" w:sz="4" w:space="0"/>
              <w:bottom w:val="single" w:color="auto" w:sz="4" w:space="0"/>
            </w:tcBorders>
          </w:tcPr>
          <w:p>
            <w:pP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内乡县</w:t>
            </w:r>
            <w:r>
              <w:rPr>
                <w:rFonts w:hint="eastAsia" w:asciiTheme="minorEastAsia" w:hAnsiTheme="minorEastAsia" w:cstheme="minorEastAsia"/>
                <w:kern w:val="0"/>
                <w:sz w:val="21"/>
                <w:szCs w:val="21"/>
                <w:lang w:eastAsia="zh-CN"/>
              </w:rPr>
              <w:t>文化广电和旅游局</w:t>
            </w:r>
          </w:p>
        </w:tc>
        <w:tc>
          <w:tcPr>
            <w:tcW w:w="5369" w:type="dxa"/>
            <w:gridSpan w:val="2"/>
            <w:tcBorders>
              <w:top w:val="single" w:color="auto" w:sz="4" w:space="0"/>
              <w:bottom w:val="single" w:color="auto" w:sz="4" w:space="0"/>
            </w:tcBorders>
          </w:tcPr>
          <w:p>
            <w:pPr>
              <w:rPr>
                <w:rFonts w:asciiTheme="minorEastAsia" w:hAnsiTheme="minorEastAsia" w:eastAsiaTheme="minorEastAsia" w:cstheme="minorEastAsia"/>
                <w:kern w:val="0"/>
                <w:sz w:val="21"/>
                <w:szCs w:val="21"/>
              </w:rPr>
            </w:pPr>
            <w:r>
              <w:rPr>
                <w:rFonts w:hint="eastAsia" w:cs="宋体" w:asciiTheme="minorEastAsia" w:hAnsiTheme="minorEastAsia" w:eastAsiaTheme="minorEastAsia"/>
                <w:kern w:val="0"/>
                <w:sz w:val="21"/>
                <w:szCs w:val="21"/>
              </w:rPr>
              <w:t>《营业性演出管理条例》（国务院令第528号）第十三条：“举办营业性演出，应当向演出所在地县级人民政府文化主管部门提出申请。县级人民政府文化主管部门应当自受理申请之日起3日内作出决定。对符合本条例第二十五条规定的，发给批准文件；对不符合本条例第二十五条规定的，不予批准，书面通知申请人并说明理由。”《营业性演出管理条例》（国务院令第528号）第十五条：“举办外国的文艺表演团体、个人参加的营业性演出，演出举办单位应当向演出所在地省、自治区、直辖市人民政府文化主管部门提出申请。举办香港特别行政区、澳门特别行政区的文艺表演团体、个人参加的营业性演出，演出举办单位应当向演出所在地省、自治区、直辖市人民政府文化主管部门提出申请；举办台湾地区的文艺表演团体、个人参加的营业性演出，演出举办单位应当向国务院文化主管部门会同国务院有关部门规定的审批机关提出申请。国务院文化主管部门或者省、自治区、直辖市人民政府文化主管部门应当自受理申请之日起20日内作出决定。对符合本条例第二十五条规定的，发给批准文件；对不符合本条例第二十五条规定的，不予批准，书面通知申请人并说明理由。”</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80" w:hRule="atLeast"/>
        </w:trPr>
        <w:tc>
          <w:tcPr>
            <w:tcW w:w="667" w:type="dxa"/>
            <w:tcBorders>
              <w:top w:val="single" w:color="auto" w:sz="4" w:space="0"/>
            </w:tcBorders>
          </w:tcPr>
          <w:p>
            <w:pP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cstheme="minorEastAsia"/>
                <w:kern w:val="0"/>
                <w:sz w:val="21"/>
                <w:szCs w:val="21"/>
                <w:lang w:val="en-US" w:eastAsia="zh-CN"/>
              </w:rPr>
              <w:t>4</w:t>
            </w:r>
          </w:p>
        </w:tc>
        <w:tc>
          <w:tcPr>
            <w:tcW w:w="1138" w:type="dxa"/>
            <w:tcBorders>
              <w:top w:val="single" w:color="auto" w:sz="4" w:space="0"/>
              <w:bottom w:val="single" w:color="auto" w:sz="4" w:space="0"/>
              <w:right w:val="single" w:color="auto" w:sz="4" w:space="0"/>
            </w:tcBorders>
          </w:tcPr>
          <w:p>
            <w:pPr>
              <w:rPr>
                <w:rFonts w:cs="Arial"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对艺术品市场的监管</w:t>
            </w:r>
          </w:p>
        </w:tc>
        <w:tc>
          <w:tcPr>
            <w:tcW w:w="995" w:type="dxa"/>
            <w:tcBorders>
              <w:top w:val="single" w:color="auto" w:sz="4" w:space="0"/>
              <w:left w:val="single" w:color="auto" w:sz="4" w:space="0"/>
              <w:bottom w:val="single" w:color="auto" w:sz="4" w:space="0"/>
            </w:tcBorders>
          </w:tcPr>
          <w:p>
            <w:pPr>
              <w:rPr>
                <w:rFonts w:cs="Arial"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对从事艺术品经营活动的经营单位的行政检查</w:t>
            </w:r>
            <w:r>
              <w:rPr>
                <w:rFonts w:cs="宋体" w:asciiTheme="minorEastAsia" w:hAnsiTheme="minorEastAsia" w:eastAsiaTheme="minorEastAsia"/>
                <w:kern w:val="0"/>
                <w:sz w:val="21"/>
                <w:szCs w:val="21"/>
              </w:rPr>
              <w:t>检查</w:t>
            </w:r>
          </w:p>
        </w:tc>
        <w:tc>
          <w:tcPr>
            <w:tcW w:w="1701" w:type="dxa"/>
            <w:tcBorders>
              <w:top w:val="single" w:color="auto" w:sz="4" w:space="0"/>
              <w:bottom w:val="single" w:color="auto" w:sz="4" w:space="0"/>
            </w:tcBorders>
          </w:tcPr>
          <w:p>
            <w:pPr>
              <w:rPr>
                <w:rFonts w:cs="Arial"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艺术品经营单位</w:t>
            </w:r>
          </w:p>
        </w:tc>
        <w:tc>
          <w:tcPr>
            <w:tcW w:w="1561" w:type="dxa"/>
            <w:tcBorders>
              <w:top w:val="single" w:color="auto" w:sz="4" w:space="0"/>
              <w:bottom w:val="single" w:color="auto" w:sz="4" w:space="0"/>
            </w:tcBorders>
          </w:tcPr>
          <w:p>
            <w:pPr>
              <w:rPr>
                <w:rFonts w:hint="eastAsia" w:cs="Arial" w:asciiTheme="minorEastAsia" w:hAnsiTheme="minorEastAsia"/>
                <w:kern w:val="0"/>
                <w:sz w:val="21"/>
                <w:szCs w:val="21"/>
                <w:lang w:val="en-US" w:eastAsia="zh-CN"/>
              </w:rPr>
            </w:pPr>
            <w:r>
              <w:rPr>
                <w:rFonts w:hint="eastAsia" w:cs="Arial" w:asciiTheme="minorEastAsia" w:hAnsiTheme="minorEastAsia"/>
                <w:kern w:val="0"/>
                <w:sz w:val="21"/>
                <w:szCs w:val="21"/>
                <w:lang w:val="en-US" w:eastAsia="zh-CN"/>
              </w:rPr>
              <w:t>日常检查</w:t>
            </w:r>
          </w:p>
          <w:p>
            <w:pPr>
              <w:rPr>
                <w:rFonts w:hint="eastAsia" w:cs="Arial" w:asciiTheme="minorEastAsia" w:hAnsiTheme="minorEastAsia"/>
                <w:kern w:val="0"/>
                <w:sz w:val="21"/>
                <w:szCs w:val="21"/>
                <w:lang w:val="en-US" w:eastAsia="zh-CN"/>
              </w:rPr>
            </w:pPr>
            <w:r>
              <w:rPr>
                <w:rFonts w:hint="eastAsia" w:cs="Arial" w:asciiTheme="minorEastAsia" w:hAnsiTheme="minorEastAsia"/>
                <w:kern w:val="0"/>
                <w:sz w:val="21"/>
                <w:szCs w:val="21"/>
                <w:lang w:val="en-US" w:eastAsia="zh-CN"/>
              </w:rPr>
              <w:t>专项检查</w:t>
            </w:r>
          </w:p>
          <w:p>
            <w:pPr>
              <w:rPr>
                <w:rFonts w:cs="Arial" w:asciiTheme="minorEastAsia" w:hAnsiTheme="minorEastAsia" w:eastAsiaTheme="minorEastAsia"/>
                <w:kern w:val="0"/>
                <w:sz w:val="21"/>
                <w:szCs w:val="21"/>
              </w:rPr>
            </w:pPr>
          </w:p>
        </w:tc>
        <w:tc>
          <w:tcPr>
            <w:tcW w:w="1792" w:type="dxa"/>
            <w:tcBorders>
              <w:top w:val="single" w:color="auto" w:sz="4" w:space="0"/>
              <w:bottom w:val="single" w:color="auto" w:sz="4" w:space="0"/>
            </w:tcBorders>
          </w:tcPr>
          <w:p>
            <w:pPr>
              <w:rPr>
                <w:rFonts w:cs="Arial"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1.重点监管；2.信用监管；3.非现场监管。</w:t>
            </w:r>
          </w:p>
        </w:tc>
        <w:tc>
          <w:tcPr>
            <w:tcW w:w="1470" w:type="dxa"/>
            <w:gridSpan w:val="2"/>
            <w:tcBorders>
              <w:top w:val="single" w:color="auto" w:sz="4" w:space="0"/>
              <w:bottom w:val="single" w:color="auto" w:sz="4" w:space="0"/>
            </w:tcBorders>
          </w:tcPr>
          <w:p>
            <w:pP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内乡县</w:t>
            </w:r>
            <w:r>
              <w:rPr>
                <w:rFonts w:hint="eastAsia" w:asciiTheme="minorEastAsia" w:hAnsiTheme="minorEastAsia" w:cstheme="minorEastAsia"/>
                <w:kern w:val="0"/>
                <w:sz w:val="21"/>
                <w:szCs w:val="21"/>
                <w:lang w:eastAsia="zh-CN"/>
              </w:rPr>
              <w:t>文化广电和旅游局</w:t>
            </w:r>
          </w:p>
        </w:tc>
        <w:tc>
          <w:tcPr>
            <w:tcW w:w="5369" w:type="dxa"/>
            <w:gridSpan w:val="2"/>
            <w:tcBorders>
              <w:top w:val="single" w:color="auto" w:sz="4" w:space="0"/>
              <w:bottom w:val="single" w:color="auto" w:sz="4" w:space="0"/>
            </w:tcBorders>
          </w:tcPr>
          <w:p>
            <w:pPr>
              <w:rPr>
                <w:rFonts w:asciiTheme="minorEastAsia" w:hAnsiTheme="minorEastAsia" w:eastAsiaTheme="minorEastAsia" w:cstheme="minorEastAsia"/>
                <w:kern w:val="0"/>
                <w:sz w:val="21"/>
                <w:szCs w:val="21"/>
              </w:rPr>
            </w:pPr>
            <w:r>
              <w:rPr>
                <w:rFonts w:hint="eastAsia" w:cs="宋体" w:asciiTheme="minorEastAsia" w:hAnsiTheme="minorEastAsia" w:eastAsiaTheme="minorEastAsia"/>
                <w:kern w:val="0"/>
                <w:sz w:val="21"/>
                <w:szCs w:val="21"/>
              </w:rPr>
              <w:t>《艺术品经营管理办法》（文化部令第56号）第三条：“文化部负责制定艺术品经营管理政策，监督管理全国艺术品经营活动，建立艺术品市场信用监管体系。省、自治区、直辖市人民政府文化行政部门负责艺术品进出口经营活动审批，建立专家委员会，为文化行政部门开展的内容审查、市场监管相关工作提供专业意见。……”《艺术品经营管理办法》（文化部令第56号）第五条：“设立从事艺术品经营活动的经营单位，应当到其住所地县级以上人民政府工商行政管理部门申领营业执照，并在领取营业执照之日起15日内，到其住所地县级以上人民政府文化行政部门备案。其他经营单位增设艺术品经营业务的，应当按前款办理备案手续。”</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46" w:hRule="atLeast"/>
        </w:trPr>
        <w:tc>
          <w:tcPr>
            <w:tcW w:w="667" w:type="dxa"/>
            <w:vMerge w:val="restart"/>
          </w:tcPr>
          <w:p>
            <w:pPr>
              <w:rPr>
                <w:rFonts w:hint="eastAsia" w:cs="宋体" w:asciiTheme="minorEastAsia" w:hAnsiTheme="minorEastAsia" w:eastAsiaTheme="minorEastAsia"/>
                <w:kern w:val="0"/>
                <w:sz w:val="21"/>
                <w:szCs w:val="21"/>
                <w:lang w:val="en-US" w:eastAsia="zh-CN"/>
              </w:rPr>
            </w:pPr>
            <w:r>
              <w:rPr>
                <w:rFonts w:hint="eastAsia" w:cs="宋体" w:asciiTheme="minorEastAsia" w:hAnsiTheme="minorEastAsia"/>
                <w:kern w:val="0"/>
                <w:sz w:val="21"/>
                <w:szCs w:val="21"/>
                <w:lang w:val="en-US" w:eastAsia="zh-CN"/>
              </w:rPr>
              <w:t>5</w:t>
            </w:r>
          </w:p>
        </w:tc>
        <w:tc>
          <w:tcPr>
            <w:tcW w:w="1138" w:type="dxa"/>
            <w:tcBorders>
              <w:top w:val="single" w:color="auto" w:sz="4" w:space="0"/>
              <w:bottom w:val="single" w:color="auto" w:sz="4" w:space="0"/>
              <w:right w:val="single" w:color="auto" w:sz="4" w:space="0"/>
            </w:tcBorders>
          </w:tcPr>
          <w:p>
            <w:pP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对文艺表演团体的监管</w:t>
            </w:r>
          </w:p>
        </w:tc>
        <w:tc>
          <w:tcPr>
            <w:tcW w:w="995" w:type="dxa"/>
            <w:tcBorders>
              <w:top w:val="single" w:color="auto" w:sz="4" w:space="0"/>
              <w:left w:val="single" w:color="auto" w:sz="4" w:space="0"/>
              <w:bottom w:val="single" w:color="auto" w:sz="4" w:space="0"/>
            </w:tcBorders>
          </w:tcPr>
          <w:p>
            <w:pP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对文艺表演团体的营业性演出活动的行政检查</w:t>
            </w:r>
          </w:p>
        </w:tc>
        <w:tc>
          <w:tcPr>
            <w:tcW w:w="1701" w:type="dxa"/>
            <w:tcBorders>
              <w:top w:val="single" w:color="auto" w:sz="4" w:space="0"/>
              <w:bottom w:val="single" w:color="auto" w:sz="4" w:space="0"/>
            </w:tcBorders>
          </w:tcPr>
          <w:p>
            <w:pP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文艺表演团体的营业性演出活动</w:t>
            </w:r>
          </w:p>
        </w:tc>
        <w:tc>
          <w:tcPr>
            <w:tcW w:w="1561" w:type="dxa"/>
            <w:tcBorders>
              <w:top w:val="single" w:color="auto" w:sz="4" w:space="0"/>
              <w:bottom w:val="single" w:color="auto" w:sz="4" w:space="0"/>
            </w:tcBorders>
          </w:tcPr>
          <w:p>
            <w:pPr>
              <w:rPr>
                <w:rFonts w:hint="eastAsia" w:cs="Arial" w:asciiTheme="minorEastAsia" w:hAnsiTheme="minorEastAsia"/>
                <w:kern w:val="0"/>
                <w:sz w:val="21"/>
                <w:szCs w:val="21"/>
                <w:lang w:val="en-US" w:eastAsia="zh-CN"/>
              </w:rPr>
            </w:pPr>
            <w:r>
              <w:rPr>
                <w:rFonts w:hint="eastAsia" w:cs="Arial" w:asciiTheme="minorEastAsia" w:hAnsiTheme="minorEastAsia"/>
                <w:kern w:val="0"/>
                <w:sz w:val="21"/>
                <w:szCs w:val="21"/>
                <w:lang w:val="en-US" w:eastAsia="zh-CN"/>
              </w:rPr>
              <w:t>日常检查</w:t>
            </w:r>
          </w:p>
          <w:p>
            <w:pPr>
              <w:rPr>
                <w:rFonts w:hint="eastAsia" w:cs="Arial" w:asciiTheme="minorEastAsia" w:hAnsiTheme="minorEastAsia"/>
                <w:kern w:val="0"/>
                <w:sz w:val="21"/>
                <w:szCs w:val="21"/>
                <w:lang w:val="en-US" w:eastAsia="zh-CN"/>
              </w:rPr>
            </w:pPr>
            <w:r>
              <w:rPr>
                <w:rFonts w:hint="eastAsia" w:cs="Arial" w:asciiTheme="minorEastAsia" w:hAnsiTheme="minorEastAsia"/>
                <w:kern w:val="0"/>
                <w:sz w:val="21"/>
                <w:szCs w:val="21"/>
                <w:lang w:val="en-US" w:eastAsia="zh-CN"/>
              </w:rPr>
              <w:t>专项检查</w:t>
            </w:r>
          </w:p>
          <w:p>
            <w:pPr>
              <w:rPr>
                <w:rFonts w:cs="宋体" w:asciiTheme="minorEastAsia" w:hAnsiTheme="minorEastAsia" w:eastAsiaTheme="minorEastAsia"/>
                <w:kern w:val="0"/>
                <w:sz w:val="21"/>
                <w:szCs w:val="21"/>
              </w:rPr>
            </w:pPr>
          </w:p>
        </w:tc>
        <w:tc>
          <w:tcPr>
            <w:tcW w:w="1792" w:type="dxa"/>
            <w:tcBorders>
              <w:top w:val="single" w:color="auto" w:sz="4" w:space="0"/>
              <w:bottom w:val="single" w:color="auto" w:sz="4" w:space="0"/>
            </w:tcBorders>
          </w:tcPr>
          <w:p>
            <w:pPr>
              <w:rPr>
                <w:rFonts w:cs="宋体" w:asciiTheme="minorEastAsia" w:hAnsiTheme="minorEastAsia" w:eastAsiaTheme="minorEastAsia"/>
                <w:kern w:val="0"/>
                <w:sz w:val="21"/>
                <w:szCs w:val="21"/>
              </w:rPr>
            </w:pPr>
            <w:r>
              <w:rPr>
                <w:rFonts w:hint="eastAsia" w:cs="宋体" w:asciiTheme="minorEastAsia" w:hAnsiTheme="minorEastAsia"/>
                <w:kern w:val="0"/>
                <w:sz w:val="21"/>
                <w:szCs w:val="21"/>
                <w:lang w:val="en-US" w:eastAsia="zh-CN"/>
              </w:rPr>
              <w:t>1</w:t>
            </w:r>
            <w:r>
              <w:rPr>
                <w:rFonts w:hint="eastAsia" w:cs="宋体" w:asciiTheme="minorEastAsia" w:hAnsiTheme="minorEastAsia" w:eastAsiaTheme="minorEastAsia"/>
                <w:kern w:val="0"/>
                <w:sz w:val="21"/>
                <w:szCs w:val="21"/>
              </w:rPr>
              <w:t>.重点监管；2.信用监管；3.非现场监管。</w:t>
            </w:r>
          </w:p>
        </w:tc>
        <w:tc>
          <w:tcPr>
            <w:tcW w:w="1470" w:type="dxa"/>
            <w:gridSpan w:val="2"/>
            <w:tcBorders>
              <w:top w:val="single" w:color="auto" w:sz="4" w:space="0"/>
              <w:bottom w:val="single" w:color="auto" w:sz="4" w:space="0"/>
            </w:tcBorders>
          </w:tcPr>
          <w:p>
            <w:pPr>
              <w:rPr>
                <w:rFonts w:cs="宋体" w:asciiTheme="minorEastAsia" w:hAnsiTheme="minorEastAsia" w:eastAsiaTheme="minorEastAsia"/>
                <w:kern w:val="0"/>
                <w:sz w:val="21"/>
                <w:szCs w:val="21"/>
              </w:rPr>
            </w:pPr>
            <w:r>
              <w:rPr>
                <w:rFonts w:hint="eastAsia" w:asciiTheme="minorEastAsia" w:hAnsiTheme="minorEastAsia" w:eastAsiaTheme="minorEastAsia" w:cstheme="minorEastAsia"/>
                <w:kern w:val="0"/>
                <w:sz w:val="21"/>
                <w:szCs w:val="21"/>
              </w:rPr>
              <w:t>内乡县</w:t>
            </w:r>
            <w:r>
              <w:rPr>
                <w:rFonts w:hint="eastAsia" w:asciiTheme="minorEastAsia" w:hAnsiTheme="minorEastAsia" w:cstheme="minorEastAsia"/>
                <w:kern w:val="0"/>
                <w:sz w:val="21"/>
                <w:szCs w:val="21"/>
                <w:lang w:eastAsia="zh-CN"/>
              </w:rPr>
              <w:t>文化广电和旅游局</w:t>
            </w:r>
          </w:p>
        </w:tc>
        <w:tc>
          <w:tcPr>
            <w:tcW w:w="5369" w:type="dxa"/>
            <w:gridSpan w:val="2"/>
            <w:tcBorders>
              <w:top w:val="single" w:color="auto" w:sz="4" w:space="0"/>
              <w:bottom w:val="single" w:color="auto" w:sz="4" w:space="0"/>
            </w:tcBorders>
          </w:tcPr>
          <w:p>
            <w:pP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《营业性演出管理条例》（国务院令第528号）第六条：“文艺表演团体申请从事营业性演出活动，应当有与其业务相适应的专职演员和器材设备，并向县级人民政府文化主管部门提出申请。”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89" w:hRule="atLeast"/>
        </w:trPr>
        <w:tc>
          <w:tcPr>
            <w:tcW w:w="667" w:type="dxa"/>
            <w:vMerge w:val="continue"/>
            <w:tcBorders>
              <w:bottom w:val="single" w:color="auto" w:sz="4" w:space="0"/>
            </w:tcBorders>
          </w:tcPr>
          <w:p>
            <w:pPr>
              <w:rPr>
                <w:rFonts w:cs="宋体" w:asciiTheme="minorEastAsia" w:hAnsiTheme="minorEastAsia" w:eastAsiaTheme="minorEastAsia"/>
                <w:kern w:val="0"/>
                <w:sz w:val="21"/>
                <w:szCs w:val="21"/>
              </w:rPr>
            </w:pPr>
          </w:p>
        </w:tc>
        <w:tc>
          <w:tcPr>
            <w:tcW w:w="1138" w:type="dxa"/>
            <w:tcBorders>
              <w:top w:val="single" w:color="auto" w:sz="4" w:space="0"/>
              <w:bottom w:val="single" w:color="auto" w:sz="4" w:space="0"/>
              <w:right w:val="single" w:color="auto" w:sz="4" w:space="0"/>
            </w:tcBorders>
          </w:tcPr>
          <w:p>
            <w:pP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对娱乐场所从事娱乐场所经营活动的监管</w:t>
            </w:r>
          </w:p>
        </w:tc>
        <w:tc>
          <w:tcPr>
            <w:tcW w:w="995" w:type="dxa"/>
            <w:tcBorders>
              <w:top w:val="single" w:color="auto" w:sz="4" w:space="0"/>
              <w:left w:val="single" w:color="auto" w:sz="4" w:space="0"/>
              <w:bottom w:val="single" w:color="auto" w:sz="4" w:space="0"/>
            </w:tcBorders>
            <w:vAlign w:val="center"/>
          </w:tcPr>
          <w:p>
            <w:pPr>
              <w:jc w:val="left"/>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对娱乐场所从事娱乐场所经营活动的行政检查</w:t>
            </w:r>
          </w:p>
        </w:tc>
        <w:tc>
          <w:tcPr>
            <w:tcW w:w="1701" w:type="dxa"/>
            <w:tcBorders>
              <w:top w:val="single" w:color="auto" w:sz="4" w:space="0"/>
              <w:bottom w:val="single" w:color="auto" w:sz="4" w:space="0"/>
            </w:tcBorders>
          </w:tcPr>
          <w:p>
            <w:pP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娱乐场所从事娱乐场所经营活动</w:t>
            </w:r>
          </w:p>
        </w:tc>
        <w:tc>
          <w:tcPr>
            <w:tcW w:w="1561" w:type="dxa"/>
            <w:tcBorders>
              <w:top w:val="single" w:color="auto" w:sz="4" w:space="0"/>
              <w:bottom w:val="single" w:color="auto" w:sz="4" w:space="0"/>
            </w:tcBorders>
          </w:tcPr>
          <w:p>
            <w:pPr>
              <w:rPr>
                <w:rFonts w:hint="eastAsia" w:cs="Arial" w:asciiTheme="minorEastAsia" w:hAnsiTheme="minorEastAsia"/>
                <w:kern w:val="0"/>
                <w:sz w:val="21"/>
                <w:szCs w:val="21"/>
                <w:lang w:val="en-US" w:eastAsia="zh-CN"/>
              </w:rPr>
            </w:pPr>
            <w:r>
              <w:rPr>
                <w:rFonts w:hint="eastAsia" w:cs="Arial" w:asciiTheme="minorEastAsia" w:hAnsiTheme="minorEastAsia"/>
                <w:kern w:val="0"/>
                <w:sz w:val="21"/>
                <w:szCs w:val="21"/>
                <w:lang w:val="en-US" w:eastAsia="zh-CN"/>
              </w:rPr>
              <w:t>日常检查</w:t>
            </w:r>
          </w:p>
          <w:p>
            <w:pPr>
              <w:rPr>
                <w:rFonts w:hint="eastAsia" w:cs="Arial" w:asciiTheme="minorEastAsia" w:hAnsiTheme="minorEastAsia"/>
                <w:kern w:val="0"/>
                <w:sz w:val="21"/>
                <w:szCs w:val="21"/>
                <w:lang w:val="en-US" w:eastAsia="zh-CN"/>
              </w:rPr>
            </w:pPr>
            <w:r>
              <w:rPr>
                <w:rFonts w:hint="eastAsia" w:cs="Arial" w:asciiTheme="minorEastAsia" w:hAnsiTheme="minorEastAsia"/>
                <w:kern w:val="0"/>
                <w:sz w:val="21"/>
                <w:szCs w:val="21"/>
                <w:lang w:val="en-US" w:eastAsia="zh-CN"/>
              </w:rPr>
              <w:t>专项检查</w:t>
            </w:r>
          </w:p>
          <w:p>
            <w:pPr>
              <w:rPr>
                <w:rFonts w:cs="宋体" w:asciiTheme="minorEastAsia" w:hAnsiTheme="minorEastAsia" w:eastAsiaTheme="minorEastAsia"/>
                <w:kern w:val="0"/>
                <w:sz w:val="21"/>
                <w:szCs w:val="21"/>
              </w:rPr>
            </w:pPr>
          </w:p>
        </w:tc>
        <w:tc>
          <w:tcPr>
            <w:tcW w:w="1792" w:type="dxa"/>
            <w:tcBorders>
              <w:top w:val="single" w:color="auto" w:sz="4" w:space="0"/>
              <w:bottom w:val="single" w:color="auto" w:sz="4" w:space="0"/>
            </w:tcBorders>
          </w:tcPr>
          <w:p>
            <w:pP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1.“双随机、一公开”监管；2.重点监管；3.信用监管4.非现场监管</w:t>
            </w:r>
          </w:p>
        </w:tc>
        <w:tc>
          <w:tcPr>
            <w:tcW w:w="1470" w:type="dxa"/>
            <w:gridSpan w:val="2"/>
            <w:tcBorders>
              <w:top w:val="single" w:color="auto" w:sz="4" w:space="0"/>
              <w:bottom w:val="single" w:color="auto" w:sz="4" w:space="0"/>
            </w:tcBorders>
          </w:tcPr>
          <w:p>
            <w:pPr>
              <w:rPr>
                <w:rFonts w:cs="宋体" w:asciiTheme="minorEastAsia" w:hAnsiTheme="minorEastAsia" w:eastAsiaTheme="minorEastAsia"/>
                <w:kern w:val="0"/>
                <w:sz w:val="21"/>
                <w:szCs w:val="21"/>
              </w:rPr>
            </w:pPr>
            <w:r>
              <w:rPr>
                <w:rFonts w:hint="eastAsia" w:asciiTheme="minorEastAsia" w:hAnsiTheme="minorEastAsia" w:eastAsiaTheme="minorEastAsia" w:cstheme="minorEastAsia"/>
                <w:kern w:val="0"/>
                <w:sz w:val="21"/>
                <w:szCs w:val="21"/>
              </w:rPr>
              <w:t>内乡县</w:t>
            </w:r>
            <w:r>
              <w:rPr>
                <w:rFonts w:hint="eastAsia" w:asciiTheme="minorEastAsia" w:hAnsiTheme="minorEastAsia" w:cstheme="minorEastAsia"/>
                <w:kern w:val="0"/>
                <w:sz w:val="21"/>
                <w:szCs w:val="21"/>
                <w:lang w:eastAsia="zh-CN"/>
              </w:rPr>
              <w:t>文化广电和旅游局</w:t>
            </w:r>
          </w:p>
        </w:tc>
        <w:tc>
          <w:tcPr>
            <w:tcW w:w="5369" w:type="dxa"/>
            <w:gridSpan w:val="2"/>
            <w:tcBorders>
              <w:top w:val="single" w:color="auto" w:sz="4" w:space="0"/>
              <w:bottom w:val="single" w:color="auto" w:sz="4" w:space="0"/>
            </w:tcBorders>
          </w:tcPr>
          <w:p>
            <w:pP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娱乐场所管理条例》第三条：“县级以上人民政府文化主管部门负责对娱乐场所日常经营活动的监督管理；县级以上公安部门负责对娱乐场所消防、治安状况的监督管理。”《娱乐场所管理条例》第三十二条：“文化主管部门、公安部门和其他有关部门的工作人员依法履行监督检查职责时，有权进入娱乐场所。娱乐场所应当予以配合，不得拒绝、阻挠。文化主管部门、公安部门和其他有关部门的工作人员依法履行监督检查职责时，需要查阅闭路电视监控录像资料、从业人员名簿、营业日志等资料的，娱乐场所应当及时提供。”</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6" w:hRule="atLeast"/>
        </w:trPr>
        <w:tc>
          <w:tcPr>
            <w:tcW w:w="667" w:type="dxa"/>
            <w:tcBorders>
              <w:top w:val="single" w:color="auto" w:sz="4" w:space="0"/>
              <w:bottom w:val="single" w:color="auto" w:sz="4" w:space="0"/>
            </w:tcBorders>
          </w:tcPr>
          <w:p>
            <w:pPr>
              <w:rPr>
                <w:rFonts w:hint="eastAsia" w:cs="宋体" w:asciiTheme="minorEastAsia" w:hAnsiTheme="minorEastAsia" w:eastAsiaTheme="minorEastAsia"/>
                <w:kern w:val="0"/>
                <w:sz w:val="21"/>
                <w:szCs w:val="21"/>
                <w:lang w:val="en-US" w:eastAsia="zh-CN"/>
              </w:rPr>
            </w:pPr>
            <w:r>
              <w:rPr>
                <w:rFonts w:hint="eastAsia" w:cs="宋体" w:asciiTheme="minorEastAsia" w:hAnsiTheme="minorEastAsia"/>
                <w:kern w:val="0"/>
                <w:sz w:val="21"/>
                <w:szCs w:val="21"/>
                <w:lang w:val="en-US" w:eastAsia="zh-CN"/>
              </w:rPr>
              <w:t>6</w:t>
            </w:r>
          </w:p>
        </w:tc>
        <w:tc>
          <w:tcPr>
            <w:tcW w:w="1138" w:type="dxa"/>
            <w:tcBorders>
              <w:top w:val="single" w:color="auto" w:sz="4" w:space="0"/>
              <w:bottom w:val="single" w:color="auto" w:sz="4" w:space="0"/>
              <w:right w:val="single" w:color="auto" w:sz="4" w:space="0"/>
            </w:tcBorders>
          </w:tcPr>
          <w:p>
            <w:pPr>
              <w:rPr>
                <w:rFonts w:cs="宋体" w:asciiTheme="minorEastAsia" w:hAnsiTheme="minorEastAsia" w:eastAsiaTheme="minorEastAsia"/>
                <w:kern w:val="0"/>
                <w:sz w:val="21"/>
                <w:szCs w:val="21"/>
              </w:rPr>
            </w:pPr>
            <w:r>
              <w:rPr>
                <w:rFonts w:hint="eastAsia" w:cs="Arial" w:asciiTheme="minorEastAsia" w:hAnsiTheme="minorEastAsia" w:eastAsiaTheme="minorEastAsia"/>
                <w:kern w:val="0"/>
                <w:sz w:val="21"/>
                <w:szCs w:val="21"/>
              </w:rPr>
              <w:t>对演出经纪机构的监管</w:t>
            </w:r>
          </w:p>
        </w:tc>
        <w:tc>
          <w:tcPr>
            <w:tcW w:w="995" w:type="dxa"/>
            <w:tcBorders>
              <w:top w:val="single" w:color="auto" w:sz="4" w:space="0"/>
              <w:left w:val="single" w:color="auto" w:sz="4" w:space="0"/>
              <w:bottom w:val="single" w:color="auto" w:sz="4" w:space="0"/>
            </w:tcBorders>
          </w:tcPr>
          <w:p>
            <w:pPr>
              <w:rPr>
                <w:rFonts w:cs="宋体" w:asciiTheme="minorEastAsia" w:hAnsiTheme="minorEastAsia" w:eastAsiaTheme="minorEastAsia"/>
                <w:kern w:val="0"/>
                <w:sz w:val="21"/>
                <w:szCs w:val="21"/>
              </w:rPr>
            </w:pPr>
            <w:r>
              <w:rPr>
                <w:rFonts w:hint="eastAsia" w:cs="Arial" w:asciiTheme="minorEastAsia" w:hAnsiTheme="minorEastAsia" w:eastAsiaTheme="minorEastAsia"/>
                <w:kern w:val="0"/>
                <w:sz w:val="21"/>
                <w:szCs w:val="21"/>
              </w:rPr>
              <w:t>对演出经纪机构举办的营业性演出活动的行政检查</w:t>
            </w:r>
          </w:p>
        </w:tc>
        <w:tc>
          <w:tcPr>
            <w:tcW w:w="1701" w:type="dxa"/>
            <w:tcBorders>
              <w:top w:val="single" w:color="auto" w:sz="4" w:space="0"/>
              <w:bottom w:val="single" w:color="auto" w:sz="4" w:space="0"/>
            </w:tcBorders>
          </w:tcPr>
          <w:p>
            <w:pPr>
              <w:rPr>
                <w:rFonts w:cs="宋体" w:asciiTheme="minorEastAsia" w:hAnsiTheme="minorEastAsia" w:eastAsiaTheme="minorEastAsia"/>
                <w:kern w:val="0"/>
                <w:sz w:val="21"/>
                <w:szCs w:val="21"/>
              </w:rPr>
            </w:pPr>
            <w:r>
              <w:rPr>
                <w:rFonts w:hint="eastAsia" w:cs="Arial" w:asciiTheme="minorEastAsia" w:hAnsiTheme="minorEastAsia" w:eastAsiaTheme="minorEastAsia"/>
                <w:kern w:val="0"/>
                <w:sz w:val="21"/>
                <w:szCs w:val="21"/>
              </w:rPr>
              <w:t>营业性演出经营单位</w:t>
            </w:r>
          </w:p>
        </w:tc>
        <w:tc>
          <w:tcPr>
            <w:tcW w:w="1561" w:type="dxa"/>
            <w:tcBorders>
              <w:top w:val="single" w:color="auto" w:sz="4" w:space="0"/>
              <w:bottom w:val="single" w:color="auto" w:sz="4" w:space="0"/>
            </w:tcBorders>
          </w:tcPr>
          <w:p>
            <w:pPr>
              <w:rPr>
                <w:rFonts w:hint="eastAsia" w:cs="Arial" w:asciiTheme="minorEastAsia" w:hAnsiTheme="minorEastAsia"/>
                <w:kern w:val="0"/>
                <w:sz w:val="21"/>
                <w:szCs w:val="21"/>
                <w:lang w:val="en-US" w:eastAsia="zh-CN"/>
              </w:rPr>
            </w:pPr>
            <w:r>
              <w:rPr>
                <w:rFonts w:hint="eastAsia" w:cs="Arial" w:asciiTheme="minorEastAsia" w:hAnsiTheme="minorEastAsia"/>
                <w:kern w:val="0"/>
                <w:sz w:val="21"/>
                <w:szCs w:val="21"/>
                <w:lang w:val="en-US" w:eastAsia="zh-CN"/>
              </w:rPr>
              <w:t>日常检查</w:t>
            </w:r>
          </w:p>
          <w:p>
            <w:pPr>
              <w:rPr>
                <w:rFonts w:hint="eastAsia" w:cs="Arial" w:asciiTheme="minorEastAsia" w:hAnsiTheme="minorEastAsia"/>
                <w:kern w:val="0"/>
                <w:sz w:val="21"/>
                <w:szCs w:val="21"/>
                <w:lang w:val="en-US" w:eastAsia="zh-CN"/>
              </w:rPr>
            </w:pPr>
            <w:r>
              <w:rPr>
                <w:rFonts w:hint="eastAsia" w:cs="Arial" w:asciiTheme="minorEastAsia" w:hAnsiTheme="minorEastAsia"/>
                <w:kern w:val="0"/>
                <w:sz w:val="21"/>
                <w:szCs w:val="21"/>
                <w:lang w:val="en-US" w:eastAsia="zh-CN"/>
              </w:rPr>
              <w:t>专项检查</w:t>
            </w:r>
          </w:p>
          <w:p>
            <w:pPr>
              <w:rPr>
                <w:rFonts w:cs="宋体" w:asciiTheme="minorEastAsia" w:hAnsiTheme="minorEastAsia" w:eastAsiaTheme="minorEastAsia"/>
                <w:kern w:val="0"/>
                <w:sz w:val="21"/>
                <w:szCs w:val="21"/>
              </w:rPr>
            </w:pPr>
          </w:p>
        </w:tc>
        <w:tc>
          <w:tcPr>
            <w:tcW w:w="1792" w:type="dxa"/>
            <w:tcBorders>
              <w:top w:val="single" w:color="auto" w:sz="4" w:space="0"/>
              <w:bottom w:val="single" w:color="auto" w:sz="4" w:space="0"/>
            </w:tcBorders>
          </w:tcPr>
          <w:p>
            <w:pPr>
              <w:rPr>
                <w:rFonts w:cs="宋体" w:asciiTheme="minorEastAsia" w:hAnsiTheme="minorEastAsia" w:eastAsiaTheme="minorEastAsia"/>
                <w:kern w:val="0"/>
                <w:sz w:val="21"/>
                <w:szCs w:val="21"/>
              </w:rPr>
            </w:pPr>
            <w:r>
              <w:rPr>
                <w:rFonts w:hint="eastAsia" w:cs="Times New Roman" w:asciiTheme="minorEastAsia" w:hAnsiTheme="minorEastAsia"/>
                <w:kern w:val="0"/>
                <w:sz w:val="21"/>
                <w:szCs w:val="21"/>
                <w:lang w:val="en-US" w:eastAsia="zh-CN"/>
              </w:rPr>
              <w:t>1</w:t>
            </w:r>
            <w:r>
              <w:rPr>
                <w:rFonts w:hint="eastAsia" w:cs="Times New Roman" w:asciiTheme="minorEastAsia" w:hAnsiTheme="minorEastAsia" w:eastAsiaTheme="minorEastAsia"/>
                <w:kern w:val="0"/>
                <w:sz w:val="21"/>
                <w:szCs w:val="21"/>
              </w:rPr>
              <w:t>.重点监管；2.信用监管；3.非现场监管。</w:t>
            </w:r>
          </w:p>
        </w:tc>
        <w:tc>
          <w:tcPr>
            <w:tcW w:w="1470" w:type="dxa"/>
            <w:gridSpan w:val="2"/>
            <w:tcBorders>
              <w:top w:val="single" w:color="auto" w:sz="4" w:space="0"/>
              <w:bottom w:val="single" w:color="auto" w:sz="4" w:space="0"/>
            </w:tcBorders>
          </w:tcPr>
          <w:p>
            <w:pPr>
              <w:rPr>
                <w:rFonts w:cs="宋体" w:asciiTheme="minorEastAsia" w:hAnsiTheme="minorEastAsia" w:eastAsiaTheme="minorEastAsia"/>
                <w:kern w:val="0"/>
                <w:sz w:val="21"/>
                <w:szCs w:val="21"/>
              </w:rPr>
            </w:pPr>
            <w:r>
              <w:rPr>
                <w:rFonts w:hint="eastAsia" w:asciiTheme="minorEastAsia" w:hAnsiTheme="minorEastAsia" w:eastAsiaTheme="minorEastAsia" w:cstheme="minorEastAsia"/>
                <w:kern w:val="0"/>
                <w:sz w:val="21"/>
                <w:szCs w:val="21"/>
              </w:rPr>
              <w:t>内乡县</w:t>
            </w:r>
            <w:r>
              <w:rPr>
                <w:rFonts w:hint="eastAsia" w:asciiTheme="minorEastAsia" w:hAnsiTheme="minorEastAsia" w:cstheme="minorEastAsia"/>
                <w:kern w:val="0"/>
                <w:sz w:val="21"/>
                <w:szCs w:val="21"/>
                <w:lang w:eastAsia="zh-CN"/>
              </w:rPr>
              <w:t>文化广电和旅游局</w:t>
            </w:r>
          </w:p>
        </w:tc>
        <w:tc>
          <w:tcPr>
            <w:tcW w:w="5369" w:type="dxa"/>
            <w:gridSpan w:val="2"/>
            <w:tcBorders>
              <w:top w:val="single" w:color="auto" w:sz="4" w:space="0"/>
              <w:bottom w:val="single" w:color="auto" w:sz="4" w:space="0"/>
            </w:tcBorders>
          </w:tcPr>
          <w:p>
            <w:pPr>
              <w:rPr>
                <w:rFonts w:cs="宋体"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营业性演出管理条例》（国务院令第528号）第六条：“……演出经纪机构申请从事营业性演出经营活动，应当有3名以上专职演出经纪人员和与其业务相适应的资金，并向省、自治区、直辖市人民政府文化主管部门提出申请。文化主管部门应当自受理申请之日起20日内作出决定。批准的，颁发营业性演出许可证；不批准的，应当书面通知申请人并说明理由。”《营业性演出管理条例》（国务院令第528号）第十条：“……中外合资经营、中外合作经营的演出经纪机构申请从事营业性演出经营活动，中外合资经营、中外合作经营的演出场所经营单位申请从事演出场所经营活动，应当通过省、自治区、直辖市人民政府文化主管部门向国务院文化主管部门提出申请；省、自治区、直辖市人民政府文化主管部门应当自收到申请之日起20日内出具审查意见报国务院文化主管部门审批。国务院文化主管部门应当自收到省、自治区、直辖市人民政府文化主管部门的审查意见之日起20日内作出决定。批准的，颁发营业性演出许可证；不批准的，应当书面通知申请人并说明理由。”</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4" w:hRule="atLeast"/>
        </w:trPr>
        <w:tc>
          <w:tcPr>
            <w:tcW w:w="667" w:type="dxa"/>
            <w:tcBorders>
              <w:top w:val="single" w:color="auto" w:sz="4" w:space="0"/>
              <w:bottom w:val="single" w:color="auto" w:sz="4" w:space="0"/>
            </w:tcBorders>
          </w:tcPr>
          <w:p>
            <w:pPr>
              <w:rPr>
                <w:rFonts w:hint="eastAsia" w:cs="宋体" w:asciiTheme="minorEastAsia" w:hAnsiTheme="minorEastAsia" w:eastAsiaTheme="minorEastAsia"/>
                <w:kern w:val="0"/>
                <w:sz w:val="21"/>
                <w:szCs w:val="21"/>
                <w:lang w:val="en-US" w:eastAsia="zh-CN"/>
              </w:rPr>
            </w:pPr>
            <w:r>
              <w:rPr>
                <w:rFonts w:hint="eastAsia" w:cs="宋体" w:asciiTheme="minorEastAsia" w:hAnsiTheme="minorEastAsia"/>
                <w:kern w:val="0"/>
                <w:sz w:val="21"/>
                <w:szCs w:val="21"/>
                <w:lang w:val="en-US" w:eastAsia="zh-CN"/>
              </w:rPr>
              <w:t>7</w:t>
            </w:r>
          </w:p>
        </w:tc>
        <w:tc>
          <w:tcPr>
            <w:tcW w:w="1138" w:type="dxa"/>
            <w:tcBorders>
              <w:top w:val="single" w:color="auto" w:sz="4" w:space="0"/>
              <w:bottom w:val="single" w:color="auto" w:sz="4" w:space="0"/>
              <w:right w:val="single" w:color="auto" w:sz="4" w:space="0"/>
            </w:tcBorders>
          </w:tcPr>
          <w:p>
            <w:pPr>
              <w:rPr>
                <w:rFonts w:cs="宋体" w:asciiTheme="minorEastAsia" w:hAnsiTheme="minorEastAsia" w:eastAsiaTheme="minorEastAsia"/>
                <w:kern w:val="0"/>
                <w:sz w:val="21"/>
                <w:szCs w:val="21"/>
              </w:rPr>
            </w:pPr>
            <w:r>
              <w:rPr>
                <w:rFonts w:hint="eastAsia" w:cs="Arial" w:asciiTheme="minorEastAsia" w:hAnsiTheme="minorEastAsia" w:eastAsiaTheme="minorEastAsia"/>
                <w:kern w:val="0"/>
                <w:sz w:val="21"/>
                <w:szCs w:val="21"/>
              </w:rPr>
              <w:t>对演出场所经营单位的监管</w:t>
            </w:r>
          </w:p>
        </w:tc>
        <w:tc>
          <w:tcPr>
            <w:tcW w:w="995" w:type="dxa"/>
            <w:tcBorders>
              <w:top w:val="single" w:color="auto" w:sz="4" w:space="0"/>
              <w:left w:val="single" w:color="auto" w:sz="4" w:space="0"/>
              <w:bottom w:val="single" w:color="auto" w:sz="4" w:space="0"/>
            </w:tcBorders>
          </w:tcPr>
          <w:p>
            <w:pPr>
              <w:rPr>
                <w:rFonts w:cs="宋体" w:asciiTheme="minorEastAsia" w:hAnsiTheme="minorEastAsia" w:eastAsiaTheme="minorEastAsia"/>
                <w:kern w:val="0"/>
                <w:sz w:val="21"/>
                <w:szCs w:val="21"/>
              </w:rPr>
            </w:pPr>
            <w:r>
              <w:rPr>
                <w:rFonts w:hint="eastAsia" w:cs="Arial" w:asciiTheme="minorEastAsia" w:hAnsiTheme="minorEastAsia" w:eastAsiaTheme="minorEastAsia"/>
                <w:kern w:val="0"/>
                <w:sz w:val="21"/>
                <w:szCs w:val="21"/>
              </w:rPr>
              <w:t>对演出场所举办的营业性演出活动的行政检查</w:t>
            </w:r>
          </w:p>
        </w:tc>
        <w:tc>
          <w:tcPr>
            <w:tcW w:w="1701" w:type="dxa"/>
            <w:tcBorders>
              <w:top w:val="single" w:color="auto" w:sz="4" w:space="0"/>
              <w:bottom w:val="single" w:color="auto" w:sz="4" w:space="0"/>
            </w:tcBorders>
          </w:tcPr>
          <w:p>
            <w:pPr>
              <w:rPr>
                <w:rFonts w:cs="宋体" w:asciiTheme="minorEastAsia" w:hAnsiTheme="minorEastAsia" w:eastAsiaTheme="minorEastAsia"/>
                <w:kern w:val="0"/>
                <w:sz w:val="21"/>
                <w:szCs w:val="21"/>
              </w:rPr>
            </w:pPr>
            <w:r>
              <w:rPr>
                <w:rFonts w:hint="eastAsia" w:cs="Arial" w:asciiTheme="minorEastAsia" w:hAnsiTheme="minorEastAsia" w:eastAsiaTheme="minorEastAsia"/>
                <w:kern w:val="0"/>
                <w:sz w:val="21"/>
                <w:szCs w:val="21"/>
              </w:rPr>
              <w:t>营业性演出经营单位</w:t>
            </w:r>
          </w:p>
        </w:tc>
        <w:tc>
          <w:tcPr>
            <w:tcW w:w="1561" w:type="dxa"/>
            <w:tcBorders>
              <w:top w:val="single" w:color="auto" w:sz="4" w:space="0"/>
              <w:bottom w:val="single" w:color="auto" w:sz="4" w:space="0"/>
            </w:tcBorders>
          </w:tcPr>
          <w:p>
            <w:pPr>
              <w:rPr>
                <w:rFonts w:hint="eastAsia" w:cs="Arial" w:asciiTheme="minorEastAsia" w:hAnsiTheme="minorEastAsia"/>
                <w:kern w:val="0"/>
                <w:sz w:val="21"/>
                <w:szCs w:val="21"/>
                <w:lang w:val="en-US" w:eastAsia="zh-CN"/>
              </w:rPr>
            </w:pPr>
            <w:r>
              <w:rPr>
                <w:rFonts w:hint="eastAsia" w:cs="Arial" w:asciiTheme="minorEastAsia" w:hAnsiTheme="minorEastAsia"/>
                <w:kern w:val="0"/>
                <w:sz w:val="21"/>
                <w:szCs w:val="21"/>
                <w:lang w:val="en-US" w:eastAsia="zh-CN"/>
              </w:rPr>
              <w:t>日常检查</w:t>
            </w:r>
          </w:p>
          <w:p>
            <w:pPr>
              <w:rPr>
                <w:rFonts w:hint="eastAsia" w:cs="Arial" w:asciiTheme="minorEastAsia" w:hAnsiTheme="minorEastAsia"/>
                <w:kern w:val="0"/>
                <w:sz w:val="21"/>
                <w:szCs w:val="21"/>
                <w:lang w:val="en-US" w:eastAsia="zh-CN"/>
              </w:rPr>
            </w:pPr>
            <w:r>
              <w:rPr>
                <w:rFonts w:hint="eastAsia" w:cs="Arial" w:asciiTheme="minorEastAsia" w:hAnsiTheme="minorEastAsia"/>
                <w:kern w:val="0"/>
                <w:sz w:val="21"/>
                <w:szCs w:val="21"/>
                <w:lang w:val="en-US" w:eastAsia="zh-CN"/>
              </w:rPr>
              <w:t>专项检查</w:t>
            </w:r>
          </w:p>
          <w:p>
            <w:pPr>
              <w:rPr>
                <w:rFonts w:cs="宋体" w:asciiTheme="minorEastAsia" w:hAnsiTheme="minorEastAsia" w:eastAsiaTheme="minorEastAsia"/>
                <w:kern w:val="0"/>
                <w:sz w:val="21"/>
                <w:szCs w:val="21"/>
              </w:rPr>
            </w:pPr>
          </w:p>
        </w:tc>
        <w:tc>
          <w:tcPr>
            <w:tcW w:w="1792" w:type="dxa"/>
            <w:tcBorders>
              <w:top w:val="single" w:color="auto" w:sz="4" w:space="0"/>
              <w:bottom w:val="single" w:color="auto" w:sz="4" w:space="0"/>
            </w:tcBorders>
          </w:tcPr>
          <w:p>
            <w:pP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1.重点监管；2.信用监管；3.非现场监管。</w:t>
            </w:r>
          </w:p>
        </w:tc>
        <w:tc>
          <w:tcPr>
            <w:tcW w:w="1470" w:type="dxa"/>
            <w:gridSpan w:val="2"/>
            <w:tcBorders>
              <w:top w:val="single" w:color="auto" w:sz="4" w:space="0"/>
              <w:bottom w:val="single" w:color="auto" w:sz="4" w:space="0"/>
            </w:tcBorders>
          </w:tcPr>
          <w:p>
            <w:pPr>
              <w:rPr>
                <w:rFonts w:cs="宋体" w:asciiTheme="minorEastAsia" w:hAnsiTheme="minorEastAsia" w:eastAsiaTheme="minorEastAsia"/>
                <w:kern w:val="0"/>
                <w:sz w:val="21"/>
                <w:szCs w:val="21"/>
              </w:rPr>
            </w:pPr>
            <w:r>
              <w:rPr>
                <w:rFonts w:hint="eastAsia" w:asciiTheme="minorEastAsia" w:hAnsiTheme="minorEastAsia" w:eastAsiaTheme="minorEastAsia" w:cstheme="minorEastAsia"/>
                <w:kern w:val="0"/>
                <w:sz w:val="21"/>
                <w:szCs w:val="21"/>
              </w:rPr>
              <w:t>内乡县</w:t>
            </w:r>
            <w:r>
              <w:rPr>
                <w:rFonts w:hint="eastAsia" w:asciiTheme="minorEastAsia" w:hAnsiTheme="minorEastAsia" w:cstheme="minorEastAsia"/>
                <w:kern w:val="0"/>
                <w:sz w:val="21"/>
                <w:szCs w:val="21"/>
                <w:lang w:eastAsia="zh-CN"/>
              </w:rPr>
              <w:t>文化广电和旅游局</w:t>
            </w:r>
          </w:p>
        </w:tc>
        <w:tc>
          <w:tcPr>
            <w:tcW w:w="5369" w:type="dxa"/>
            <w:gridSpan w:val="2"/>
            <w:tcBorders>
              <w:top w:val="single" w:color="auto" w:sz="4" w:space="0"/>
              <w:bottom w:val="single" w:color="auto" w:sz="4" w:space="0"/>
            </w:tcBorders>
          </w:tcPr>
          <w:p>
            <w:pPr>
              <w:rPr>
                <w:rFonts w:cs="宋体"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营业性演出管理条例》（国务院令第528号）第七条：“设立演出场所经营单位，应当依法到工商行政管理部门办理注册登记，领取营业执照，并依照有关消防、卫生管理等法律、行政法规的规定办理审批手续。演出场所经营单位应当自领取营业执照之日起20日内向所在地县级人民政府文化主管部门备案。”《营业性演出管理条例》（国务院令第528号）第十条：“……中外合资经营、中外合作经营的演出场所经营单位申请从事演出场所经营活动，应当通过省、自治区、直辖市人民政府文化主管部门向国务院文化主管部门提出申请；省、自治区、直辖市人民政府文化主管部门应当自收到申请之日起20日内出具审查意见报国务院文化主管部门审批。国务院文化主管部门应当自收到省、自治区、直辖市人民政府文化主管部门的审查意见之日起20日内作出决定。批准的，颁发营业性演出许可证；不批准的，应当书面通知申请人并说明理由。”《营业性演出管理条例》（国务院令第528号）第十一条：“香港特别行政区、澳门特别行政区的投资者可以在内地投资设立演出场所经营单位；台湾地区的投资者可以在内地投资设立合资、合作经营的演出场所经营单位，但内地合营者的投资比例应当不低于51%，内地合作者应当拥有经营主导权；不得设立合资、合作、独资经营的文艺表演团体和独资经营的演出经纪机构、演出场所经营单位。依照本条规定设立的演出经纪机构申请从事营业性演出经营活动，依照本条规定设立的演出场所经营单位申请从事演出场所经营活动，应当向省、自治区、直辖市人民政府文化主管部门提出申请。省、自治区、直辖市人民政府文化主管部门应当自收到申请之日起20日内作出决定。批准的，颁发营业性演出许可证；不批准的，应当书面通知申请人并说明理由。依照本条规定设立演出经纪机构、演出场所经营单位的，还应当遵守我国其他法律、法规的规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39" w:hRule="atLeast"/>
        </w:trPr>
        <w:tc>
          <w:tcPr>
            <w:tcW w:w="667" w:type="dxa"/>
            <w:tcBorders>
              <w:top w:val="single" w:color="auto" w:sz="4" w:space="0"/>
              <w:bottom w:val="single" w:color="auto" w:sz="4" w:space="0"/>
            </w:tcBorders>
          </w:tcPr>
          <w:p>
            <w:pPr>
              <w:rPr>
                <w:rFonts w:hint="eastAsia" w:cs="宋体" w:asciiTheme="minorEastAsia" w:hAnsiTheme="minorEastAsia" w:eastAsiaTheme="minorEastAsia"/>
                <w:kern w:val="0"/>
                <w:sz w:val="21"/>
                <w:szCs w:val="21"/>
                <w:lang w:val="en-US" w:eastAsia="zh-CN"/>
              </w:rPr>
            </w:pPr>
            <w:r>
              <w:rPr>
                <w:rFonts w:hint="eastAsia" w:cs="宋体" w:asciiTheme="minorEastAsia" w:hAnsiTheme="minorEastAsia"/>
                <w:kern w:val="0"/>
                <w:sz w:val="21"/>
                <w:szCs w:val="21"/>
                <w:lang w:val="en-US" w:eastAsia="zh-CN"/>
              </w:rPr>
              <w:t>8</w:t>
            </w:r>
          </w:p>
        </w:tc>
        <w:tc>
          <w:tcPr>
            <w:tcW w:w="1138" w:type="dxa"/>
            <w:tcBorders>
              <w:top w:val="single" w:color="auto" w:sz="4" w:space="0"/>
              <w:bottom w:val="single" w:color="auto" w:sz="4" w:space="0"/>
              <w:right w:val="single" w:color="auto" w:sz="4" w:space="0"/>
            </w:tcBorders>
          </w:tcPr>
          <w:p>
            <w:pPr>
              <w:rPr>
                <w:rFonts w:cs="宋体" w:asciiTheme="minorEastAsia" w:hAnsiTheme="minorEastAsia" w:eastAsiaTheme="minorEastAsia"/>
                <w:kern w:val="0"/>
                <w:sz w:val="21"/>
                <w:szCs w:val="21"/>
              </w:rPr>
            </w:pPr>
            <w:r>
              <w:rPr>
                <w:rFonts w:hint="eastAsia" w:cs="Arial" w:asciiTheme="minorEastAsia" w:hAnsiTheme="minorEastAsia" w:eastAsiaTheme="minorEastAsia"/>
                <w:kern w:val="0"/>
                <w:sz w:val="21"/>
                <w:szCs w:val="21"/>
              </w:rPr>
              <w:t>对旅行社经营出境旅游业务资格的监管</w:t>
            </w:r>
          </w:p>
        </w:tc>
        <w:tc>
          <w:tcPr>
            <w:tcW w:w="995" w:type="dxa"/>
            <w:tcBorders>
              <w:top w:val="single" w:color="auto" w:sz="4" w:space="0"/>
              <w:left w:val="single" w:color="auto" w:sz="4" w:space="0"/>
              <w:bottom w:val="single" w:color="auto" w:sz="4" w:space="0"/>
            </w:tcBorders>
          </w:tcPr>
          <w:p>
            <w:pPr>
              <w:rPr>
                <w:rFonts w:cs="宋体" w:asciiTheme="minorEastAsia" w:hAnsiTheme="minorEastAsia" w:eastAsiaTheme="minorEastAsia"/>
                <w:kern w:val="0"/>
                <w:sz w:val="21"/>
                <w:szCs w:val="21"/>
              </w:rPr>
            </w:pPr>
            <w:r>
              <w:rPr>
                <w:rFonts w:hint="eastAsia" w:cs="Arial" w:asciiTheme="minorEastAsia" w:hAnsiTheme="minorEastAsia" w:eastAsiaTheme="minorEastAsia"/>
                <w:kern w:val="0"/>
                <w:sz w:val="21"/>
                <w:szCs w:val="21"/>
              </w:rPr>
              <w:t>对旅行社经营出境旅游业务的行政检查</w:t>
            </w:r>
          </w:p>
        </w:tc>
        <w:tc>
          <w:tcPr>
            <w:tcW w:w="1701" w:type="dxa"/>
            <w:tcBorders>
              <w:top w:val="single" w:color="auto" w:sz="4" w:space="0"/>
              <w:bottom w:val="single" w:color="auto" w:sz="4" w:space="0"/>
            </w:tcBorders>
          </w:tcPr>
          <w:p>
            <w:pPr>
              <w:rPr>
                <w:rFonts w:cs="宋体" w:asciiTheme="minorEastAsia" w:hAnsiTheme="minorEastAsia" w:eastAsiaTheme="minorEastAsia"/>
                <w:kern w:val="0"/>
                <w:sz w:val="21"/>
                <w:szCs w:val="21"/>
              </w:rPr>
            </w:pPr>
            <w:r>
              <w:rPr>
                <w:rFonts w:hint="eastAsia" w:cs="Arial" w:asciiTheme="minorEastAsia" w:hAnsiTheme="minorEastAsia" w:eastAsiaTheme="minorEastAsia"/>
                <w:kern w:val="0"/>
                <w:sz w:val="21"/>
                <w:szCs w:val="21"/>
              </w:rPr>
              <w:t>旅行社</w:t>
            </w:r>
          </w:p>
        </w:tc>
        <w:tc>
          <w:tcPr>
            <w:tcW w:w="1561" w:type="dxa"/>
            <w:tcBorders>
              <w:top w:val="single" w:color="auto" w:sz="4" w:space="0"/>
              <w:bottom w:val="single" w:color="auto" w:sz="4" w:space="0"/>
            </w:tcBorders>
          </w:tcPr>
          <w:p>
            <w:pPr>
              <w:rPr>
                <w:rFonts w:hint="eastAsia" w:cs="Arial" w:asciiTheme="minorEastAsia" w:hAnsiTheme="minorEastAsia"/>
                <w:kern w:val="0"/>
                <w:sz w:val="21"/>
                <w:szCs w:val="21"/>
                <w:lang w:val="en-US" w:eastAsia="zh-CN"/>
              </w:rPr>
            </w:pPr>
            <w:r>
              <w:rPr>
                <w:rFonts w:hint="eastAsia" w:cs="Arial" w:asciiTheme="minorEastAsia" w:hAnsiTheme="minorEastAsia"/>
                <w:kern w:val="0"/>
                <w:sz w:val="21"/>
                <w:szCs w:val="21"/>
                <w:lang w:val="en-US" w:eastAsia="zh-CN"/>
              </w:rPr>
              <w:t>日常检查</w:t>
            </w:r>
          </w:p>
          <w:p>
            <w:pPr>
              <w:rPr>
                <w:rFonts w:hint="eastAsia" w:cs="Arial" w:asciiTheme="minorEastAsia" w:hAnsiTheme="minorEastAsia"/>
                <w:kern w:val="0"/>
                <w:sz w:val="21"/>
                <w:szCs w:val="21"/>
                <w:lang w:val="en-US" w:eastAsia="zh-CN"/>
              </w:rPr>
            </w:pPr>
            <w:r>
              <w:rPr>
                <w:rFonts w:hint="eastAsia" w:cs="Arial" w:asciiTheme="minorEastAsia" w:hAnsiTheme="minorEastAsia"/>
                <w:kern w:val="0"/>
                <w:sz w:val="21"/>
                <w:szCs w:val="21"/>
                <w:lang w:val="en-US" w:eastAsia="zh-CN"/>
              </w:rPr>
              <w:t>专项检查</w:t>
            </w:r>
          </w:p>
          <w:p>
            <w:pPr>
              <w:rPr>
                <w:rFonts w:cs="宋体" w:asciiTheme="minorEastAsia" w:hAnsiTheme="minorEastAsia" w:eastAsiaTheme="minorEastAsia"/>
                <w:kern w:val="0"/>
                <w:sz w:val="21"/>
                <w:szCs w:val="21"/>
              </w:rPr>
            </w:pPr>
          </w:p>
        </w:tc>
        <w:tc>
          <w:tcPr>
            <w:tcW w:w="1792" w:type="dxa"/>
            <w:tcBorders>
              <w:top w:val="single" w:color="auto" w:sz="4" w:space="0"/>
              <w:bottom w:val="single" w:color="auto" w:sz="4" w:space="0"/>
            </w:tcBorders>
          </w:tcPr>
          <w:p>
            <w:pPr>
              <w:rPr>
                <w:rFonts w:cs="宋体"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1.重点监管</w:t>
            </w:r>
          </w:p>
        </w:tc>
        <w:tc>
          <w:tcPr>
            <w:tcW w:w="1470" w:type="dxa"/>
            <w:gridSpan w:val="2"/>
            <w:tcBorders>
              <w:top w:val="single" w:color="auto" w:sz="4" w:space="0"/>
              <w:bottom w:val="single" w:color="auto" w:sz="4" w:space="0"/>
            </w:tcBorders>
          </w:tcPr>
          <w:p>
            <w:pPr>
              <w:rPr>
                <w:rFonts w:cs="宋体" w:asciiTheme="minorEastAsia" w:hAnsiTheme="minorEastAsia" w:eastAsiaTheme="minorEastAsia"/>
                <w:kern w:val="0"/>
                <w:sz w:val="21"/>
                <w:szCs w:val="21"/>
              </w:rPr>
            </w:pPr>
            <w:r>
              <w:rPr>
                <w:rFonts w:hint="eastAsia" w:asciiTheme="minorEastAsia" w:hAnsiTheme="minorEastAsia" w:eastAsiaTheme="minorEastAsia" w:cstheme="minorEastAsia"/>
                <w:kern w:val="0"/>
                <w:sz w:val="21"/>
                <w:szCs w:val="21"/>
              </w:rPr>
              <w:t>内乡县</w:t>
            </w:r>
            <w:r>
              <w:rPr>
                <w:rFonts w:hint="eastAsia" w:asciiTheme="minorEastAsia" w:hAnsiTheme="minorEastAsia" w:cstheme="minorEastAsia"/>
                <w:kern w:val="0"/>
                <w:sz w:val="21"/>
                <w:szCs w:val="21"/>
                <w:lang w:eastAsia="zh-CN"/>
              </w:rPr>
              <w:t>文化广电和旅游局</w:t>
            </w:r>
          </w:p>
        </w:tc>
        <w:tc>
          <w:tcPr>
            <w:tcW w:w="5369" w:type="dxa"/>
            <w:gridSpan w:val="2"/>
            <w:tcBorders>
              <w:top w:val="single" w:color="auto" w:sz="4" w:space="0"/>
              <w:bottom w:val="single" w:color="auto" w:sz="4" w:space="0"/>
            </w:tcBorders>
          </w:tcPr>
          <w:p>
            <w:pPr>
              <w:rPr>
                <w:rFonts w:cs="宋体"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中华人民共和国旅游法》（2013年4月25日主席令第3号）第八十三条：“县级以上人民政府旅游主管部门和有关部门依照本法和有关法律、法规的规定，在各自职责范围内对旅游市场实施监督管理。县级以上人民政府应当组织旅游主管部门、有关主管部门和市场监督管理、交通等执法部门对相关旅游经营行为实施监督检查。”《旅行社条例》第四十一条：“旅游、工商、价格、商务、外汇等有关部门应当依法加强对旅行社的监督管理，发现违法行为，应当及时予以处理。”《旅行社条例》第四十二条：“旅游、工商、价格等行政管理部门应当及时向社会公告监督检查的情况。公告的内容包括旅行社业务经营许可证的颁发、变更、吊销、注销情况，旅行社的违法经营行为以及旅行社的诚信记录、旅游者投诉信息等。”《旅行社条例》第四十三条：“旅行社损害旅游者合法权益的，旅游者可以向旅游行政管理部门、工商行政管理部门、价格主管部门、商务主管部门或者外汇管理部门投诉，接到投诉的部门应当按照其职责权限及时调查处理，并将调查处理的有关情况告知旅游者。”《旅行社条例》第四十四条：“旅行社及其分社应当接受旅游行政管理部门对其旅游合同、服务质量、旅游安全、财务账簿等情况的监督检查，并按照国家有关规定向旅游行政管理部门报送经营和财务信息等统计资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72" w:hRule="atLeast"/>
        </w:trPr>
        <w:tc>
          <w:tcPr>
            <w:tcW w:w="667" w:type="dxa"/>
            <w:tcBorders>
              <w:top w:val="single" w:color="auto" w:sz="4" w:space="0"/>
              <w:bottom w:val="single" w:color="auto" w:sz="4" w:space="0"/>
            </w:tcBorders>
          </w:tcPr>
          <w:p>
            <w:pPr>
              <w:rPr>
                <w:rFonts w:hint="default" w:cs="宋体" w:asciiTheme="minorEastAsia" w:hAnsiTheme="minorEastAsia" w:eastAsiaTheme="minorEastAsia"/>
                <w:kern w:val="0"/>
                <w:sz w:val="21"/>
                <w:szCs w:val="21"/>
                <w:lang w:val="en-US" w:eastAsia="zh-CN"/>
              </w:rPr>
            </w:pPr>
            <w:r>
              <w:rPr>
                <w:rFonts w:hint="eastAsia" w:cs="宋体" w:asciiTheme="minorEastAsia" w:hAnsiTheme="minorEastAsia"/>
                <w:kern w:val="0"/>
                <w:sz w:val="21"/>
                <w:szCs w:val="21"/>
                <w:lang w:val="en-US" w:eastAsia="zh-CN"/>
              </w:rPr>
              <w:t>9</w:t>
            </w:r>
          </w:p>
        </w:tc>
        <w:tc>
          <w:tcPr>
            <w:tcW w:w="1138" w:type="dxa"/>
            <w:tcBorders>
              <w:top w:val="single" w:color="auto" w:sz="4" w:space="0"/>
              <w:bottom w:val="single" w:color="auto" w:sz="4" w:space="0"/>
              <w:right w:val="single" w:color="auto" w:sz="4" w:space="0"/>
            </w:tcBorders>
          </w:tcPr>
          <w:p>
            <w:pPr>
              <w:rPr>
                <w:rFonts w:cs="Arial" w:asciiTheme="minorEastAsia" w:hAnsiTheme="minorEastAsia" w:eastAsiaTheme="minorEastAsia"/>
                <w:kern w:val="0"/>
                <w:sz w:val="21"/>
                <w:szCs w:val="21"/>
              </w:rPr>
            </w:pPr>
            <w:r>
              <w:rPr>
                <w:rFonts w:hint="eastAsia" w:cs="Arial" w:asciiTheme="minorEastAsia" w:hAnsiTheme="minorEastAsia" w:eastAsiaTheme="minorEastAsia"/>
                <w:kern w:val="0"/>
                <w:sz w:val="21"/>
                <w:szCs w:val="21"/>
              </w:rPr>
              <w:t>对经营旅行社业务的监管</w:t>
            </w:r>
          </w:p>
          <w:p>
            <w:pPr>
              <w:rPr>
                <w:rFonts w:cs="宋体" w:asciiTheme="minorEastAsia" w:hAnsiTheme="minorEastAsia" w:eastAsiaTheme="minorEastAsia"/>
                <w:kern w:val="0"/>
                <w:sz w:val="21"/>
                <w:szCs w:val="21"/>
              </w:rPr>
            </w:pPr>
          </w:p>
        </w:tc>
        <w:tc>
          <w:tcPr>
            <w:tcW w:w="995" w:type="dxa"/>
            <w:tcBorders>
              <w:top w:val="single" w:color="auto" w:sz="4" w:space="0"/>
              <w:left w:val="single" w:color="auto" w:sz="4" w:space="0"/>
              <w:bottom w:val="single" w:color="auto" w:sz="4" w:space="0"/>
            </w:tcBorders>
          </w:tcPr>
          <w:p>
            <w:pPr>
              <w:rPr>
                <w:rFonts w:cs="宋体" w:asciiTheme="minorEastAsia" w:hAnsiTheme="minorEastAsia" w:eastAsiaTheme="minorEastAsia"/>
                <w:kern w:val="0"/>
                <w:sz w:val="21"/>
                <w:szCs w:val="21"/>
              </w:rPr>
            </w:pPr>
            <w:r>
              <w:rPr>
                <w:rFonts w:hint="eastAsia" w:cs="Arial" w:asciiTheme="minorEastAsia" w:hAnsiTheme="minorEastAsia" w:eastAsiaTheme="minorEastAsia"/>
                <w:kern w:val="0"/>
                <w:sz w:val="21"/>
                <w:szCs w:val="21"/>
              </w:rPr>
              <w:t>对企业经营旅行社业务的行政检查</w:t>
            </w:r>
          </w:p>
        </w:tc>
        <w:tc>
          <w:tcPr>
            <w:tcW w:w="1701" w:type="dxa"/>
            <w:tcBorders>
              <w:top w:val="single" w:color="auto" w:sz="4" w:space="0"/>
              <w:bottom w:val="single" w:color="auto" w:sz="4" w:space="0"/>
            </w:tcBorders>
          </w:tcPr>
          <w:p>
            <w:pPr>
              <w:rPr>
                <w:rFonts w:cs="宋体" w:asciiTheme="minorEastAsia" w:hAnsiTheme="minorEastAsia" w:eastAsiaTheme="minorEastAsia"/>
                <w:kern w:val="0"/>
                <w:sz w:val="21"/>
                <w:szCs w:val="21"/>
              </w:rPr>
            </w:pPr>
            <w:r>
              <w:rPr>
                <w:rFonts w:hint="eastAsia" w:cs="Arial" w:asciiTheme="minorEastAsia" w:hAnsiTheme="minorEastAsia" w:eastAsiaTheme="minorEastAsia"/>
                <w:kern w:val="0"/>
                <w:sz w:val="21"/>
                <w:szCs w:val="21"/>
              </w:rPr>
              <w:t>企业、个人</w:t>
            </w:r>
          </w:p>
        </w:tc>
        <w:tc>
          <w:tcPr>
            <w:tcW w:w="1561" w:type="dxa"/>
            <w:tcBorders>
              <w:top w:val="single" w:color="auto" w:sz="4" w:space="0"/>
              <w:bottom w:val="single" w:color="auto" w:sz="4" w:space="0"/>
            </w:tcBorders>
          </w:tcPr>
          <w:p>
            <w:pPr>
              <w:rPr>
                <w:rFonts w:hint="eastAsia" w:cs="Arial" w:asciiTheme="minorEastAsia" w:hAnsiTheme="minorEastAsia"/>
                <w:kern w:val="0"/>
                <w:sz w:val="21"/>
                <w:szCs w:val="21"/>
                <w:lang w:val="en-US" w:eastAsia="zh-CN"/>
              </w:rPr>
            </w:pPr>
            <w:r>
              <w:rPr>
                <w:rFonts w:hint="eastAsia" w:cs="Arial" w:asciiTheme="minorEastAsia" w:hAnsiTheme="minorEastAsia"/>
                <w:kern w:val="0"/>
                <w:sz w:val="21"/>
                <w:szCs w:val="21"/>
                <w:lang w:val="en-US" w:eastAsia="zh-CN"/>
              </w:rPr>
              <w:t>日常检查</w:t>
            </w:r>
          </w:p>
          <w:p>
            <w:pPr>
              <w:rPr>
                <w:rFonts w:hint="eastAsia" w:cs="Arial" w:asciiTheme="minorEastAsia" w:hAnsiTheme="minorEastAsia"/>
                <w:kern w:val="0"/>
                <w:sz w:val="21"/>
                <w:szCs w:val="21"/>
                <w:lang w:val="en-US" w:eastAsia="zh-CN"/>
              </w:rPr>
            </w:pPr>
            <w:r>
              <w:rPr>
                <w:rFonts w:hint="eastAsia" w:cs="Arial" w:asciiTheme="minorEastAsia" w:hAnsiTheme="minorEastAsia"/>
                <w:kern w:val="0"/>
                <w:sz w:val="21"/>
                <w:szCs w:val="21"/>
                <w:lang w:val="en-US" w:eastAsia="zh-CN"/>
              </w:rPr>
              <w:t>专项检查</w:t>
            </w:r>
          </w:p>
          <w:p>
            <w:pPr>
              <w:rPr>
                <w:rFonts w:cs="宋体" w:asciiTheme="minorEastAsia" w:hAnsiTheme="minorEastAsia" w:eastAsiaTheme="minorEastAsia"/>
                <w:kern w:val="0"/>
                <w:sz w:val="21"/>
                <w:szCs w:val="21"/>
              </w:rPr>
            </w:pPr>
          </w:p>
        </w:tc>
        <w:tc>
          <w:tcPr>
            <w:tcW w:w="1792" w:type="dxa"/>
            <w:tcBorders>
              <w:top w:val="single" w:color="auto" w:sz="4" w:space="0"/>
              <w:bottom w:val="single" w:color="auto" w:sz="4" w:space="0"/>
            </w:tcBorders>
          </w:tcPr>
          <w:p>
            <w:pPr>
              <w:rPr>
                <w:rFonts w:cs="宋体"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1.重点监管；2.信用监管；</w:t>
            </w:r>
          </w:p>
        </w:tc>
        <w:tc>
          <w:tcPr>
            <w:tcW w:w="1470" w:type="dxa"/>
            <w:gridSpan w:val="2"/>
            <w:tcBorders>
              <w:top w:val="single" w:color="auto" w:sz="4" w:space="0"/>
              <w:bottom w:val="single" w:color="auto" w:sz="4" w:space="0"/>
            </w:tcBorders>
          </w:tcPr>
          <w:p>
            <w:pPr>
              <w:rPr>
                <w:rFonts w:cs="宋体" w:asciiTheme="minorEastAsia" w:hAnsiTheme="minorEastAsia" w:eastAsiaTheme="minorEastAsia"/>
                <w:kern w:val="0"/>
                <w:sz w:val="21"/>
                <w:szCs w:val="21"/>
              </w:rPr>
            </w:pPr>
            <w:r>
              <w:rPr>
                <w:rFonts w:hint="eastAsia" w:asciiTheme="minorEastAsia" w:hAnsiTheme="minorEastAsia" w:eastAsiaTheme="minorEastAsia" w:cstheme="minorEastAsia"/>
                <w:kern w:val="0"/>
                <w:sz w:val="21"/>
                <w:szCs w:val="21"/>
              </w:rPr>
              <w:t>内乡县</w:t>
            </w:r>
            <w:r>
              <w:rPr>
                <w:rFonts w:hint="eastAsia" w:asciiTheme="minorEastAsia" w:hAnsiTheme="minorEastAsia" w:cstheme="minorEastAsia"/>
                <w:kern w:val="0"/>
                <w:sz w:val="21"/>
                <w:szCs w:val="21"/>
                <w:lang w:eastAsia="zh-CN"/>
              </w:rPr>
              <w:t>文化广电和旅游局</w:t>
            </w:r>
          </w:p>
        </w:tc>
        <w:tc>
          <w:tcPr>
            <w:tcW w:w="5369" w:type="dxa"/>
            <w:gridSpan w:val="2"/>
            <w:tcBorders>
              <w:top w:val="single" w:color="auto" w:sz="4" w:space="0"/>
              <w:bottom w:val="single" w:color="auto" w:sz="4" w:space="0"/>
            </w:tcBorders>
          </w:tcPr>
          <w:p>
            <w:pPr>
              <w:rPr>
                <w:rFonts w:cs="宋体"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中华人民共和国旅游法》（2013年4月25日主席令第4号）第八十三条：“县级以上人民政府旅游主管部门和有关部门依照本法和有关法律、法规的规定，在各自职责范围内对旅游市场实施监督管理。县级以上人民政府应当组织旅游主管部门、有关主管部门和市场监督管理、交通等执法部门对相关旅游经营行为实施监督检查。”《旅行社条例》第四十一条：“旅游、工商、价格、商务、外汇等有关部门应当依法加强对旅行社的监督管理，发现违法行为，应当及时予以处理。”《旅行社条例》第四十二条：“旅游、工商、价格等行政管理部门应当及时向社会公告监督检查的情况。公告的内容包括旅行社业务经营许可证的颁发、变更、吊销、注销情况，旅行社的违法经营行为以及旅行社的诚信记录、旅游者投诉信息等。”《旅行社条例》第四十三条：“旅行社损害旅游者合法权益的，旅游者可以向旅游行政管理部门、工商行政管理部门、价格主管部门、商务主管部门或者外汇管理部门投诉，接到投诉的部门应当按照其职责权限及时调查处理，并将调查处理的有关情况告知旅游者。”《旅行社条例》第四十四条：“旅行社及其分社应当接受旅游行政管理部门对其旅游合同、服务质量、旅游安全、财务账簿等情况的监督检查，并按照国家有关规定向旅游行政管理部门报送经营和财务信息等统计资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26" w:hRule="atLeast"/>
        </w:trPr>
        <w:tc>
          <w:tcPr>
            <w:tcW w:w="667" w:type="dxa"/>
            <w:tcBorders>
              <w:top w:val="single" w:color="auto" w:sz="4" w:space="0"/>
            </w:tcBorders>
          </w:tcPr>
          <w:p>
            <w:pPr>
              <w:rPr>
                <w:rFonts w:hint="default" w:cs="宋体" w:asciiTheme="minorEastAsia" w:hAnsiTheme="minorEastAsia" w:eastAsiaTheme="minorEastAsia"/>
                <w:kern w:val="0"/>
                <w:sz w:val="21"/>
                <w:szCs w:val="21"/>
                <w:lang w:val="en-US" w:eastAsia="zh-CN"/>
              </w:rPr>
            </w:pPr>
            <w:r>
              <w:rPr>
                <w:rFonts w:hint="eastAsia" w:cs="宋体" w:asciiTheme="minorEastAsia" w:hAnsiTheme="minorEastAsia"/>
                <w:kern w:val="0"/>
                <w:sz w:val="21"/>
                <w:szCs w:val="21"/>
                <w:lang w:val="en-US" w:eastAsia="zh-CN"/>
              </w:rPr>
              <w:t>10</w:t>
            </w:r>
          </w:p>
        </w:tc>
        <w:tc>
          <w:tcPr>
            <w:tcW w:w="1138" w:type="dxa"/>
            <w:tcBorders>
              <w:top w:val="single" w:color="auto" w:sz="4" w:space="0"/>
              <w:bottom w:val="single" w:color="auto" w:sz="4" w:space="0"/>
              <w:right w:val="single" w:color="auto" w:sz="4" w:space="0"/>
            </w:tcBorders>
          </w:tcPr>
          <w:p>
            <w:pPr>
              <w:rPr>
                <w:rFonts w:cs="宋体" w:asciiTheme="minorEastAsia" w:hAnsiTheme="minorEastAsia" w:eastAsiaTheme="minorEastAsia"/>
                <w:kern w:val="0"/>
                <w:sz w:val="21"/>
                <w:szCs w:val="21"/>
              </w:rPr>
            </w:pPr>
            <w:r>
              <w:rPr>
                <w:rFonts w:hint="eastAsia" w:cs="Arial" w:asciiTheme="minorEastAsia" w:hAnsiTheme="minorEastAsia" w:eastAsiaTheme="minorEastAsia"/>
                <w:kern w:val="0"/>
                <w:sz w:val="21"/>
                <w:szCs w:val="21"/>
              </w:rPr>
              <w:t>对广播电视节目制作机构的经营情况的监管</w:t>
            </w:r>
          </w:p>
        </w:tc>
        <w:tc>
          <w:tcPr>
            <w:tcW w:w="995" w:type="dxa"/>
            <w:tcBorders>
              <w:top w:val="single" w:color="auto" w:sz="4" w:space="0"/>
              <w:left w:val="single" w:color="auto" w:sz="4" w:space="0"/>
              <w:bottom w:val="single" w:color="auto" w:sz="4" w:space="0"/>
            </w:tcBorders>
          </w:tcPr>
          <w:p>
            <w:pPr>
              <w:rPr>
                <w:rFonts w:cs="宋体" w:asciiTheme="minorEastAsia" w:hAnsiTheme="minorEastAsia" w:eastAsiaTheme="minorEastAsia"/>
                <w:kern w:val="0"/>
                <w:sz w:val="21"/>
                <w:szCs w:val="21"/>
              </w:rPr>
            </w:pPr>
            <w:r>
              <w:rPr>
                <w:rFonts w:hint="eastAsia" w:cs="Arial" w:asciiTheme="minorEastAsia" w:hAnsiTheme="minorEastAsia" w:eastAsiaTheme="minorEastAsia"/>
                <w:color w:val="0000FF"/>
                <w:kern w:val="0"/>
                <w:sz w:val="21"/>
                <w:szCs w:val="21"/>
              </w:rPr>
              <w:t>对广播电视节目制作机构的经营情况的行政检查</w:t>
            </w:r>
          </w:p>
        </w:tc>
        <w:tc>
          <w:tcPr>
            <w:tcW w:w="1701" w:type="dxa"/>
            <w:tcBorders>
              <w:top w:val="single" w:color="auto" w:sz="4" w:space="0"/>
              <w:bottom w:val="single" w:color="auto" w:sz="4" w:space="0"/>
            </w:tcBorders>
          </w:tcPr>
          <w:p>
            <w:pPr>
              <w:rPr>
                <w:rFonts w:cs="宋体" w:asciiTheme="minorEastAsia" w:hAnsiTheme="minorEastAsia" w:eastAsiaTheme="minorEastAsia"/>
                <w:kern w:val="0"/>
                <w:sz w:val="21"/>
                <w:szCs w:val="21"/>
              </w:rPr>
            </w:pPr>
            <w:r>
              <w:rPr>
                <w:rFonts w:hint="eastAsia" w:cs="Arial" w:asciiTheme="minorEastAsia" w:hAnsiTheme="minorEastAsia" w:eastAsiaTheme="minorEastAsia"/>
                <w:kern w:val="0"/>
                <w:sz w:val="21"/>
                <w:szCs w:val="21"/>
              </w:rPr>
              <w:t>广播电视节目制作机构</w:t>
            </w:r>
          </w:p>
        </w:tc>
        <w:tc>
          <w:tcPr>
            <w:tcW w:w="1561" w:type="dxa"/>
            <w:tcBorders>
              <w:top w:val="single" w:color="auto" w:sz="4" w:space="0"/>
              <w:bottom w:val="single" w:color="auto" w:sz="4" w:space="0"/>
            </w:tcBorders>
          </w:tcPr>
          <w:p>
            <w:pPr>
              <w:rPr>
                <w:rFonts w:hint="eastAsia" w:cs="Arial" w:asciiTheme="minorEastAsia" w:hAnsiTheme="minorEastAsia"/>
                <w:kern w:val="0"/>
                <w:sz w:val="21"/>
                <w:szCs w:val="21"/>
                <w:lang w:val="en-US" w:eastAsia="zh-CN"/>
              </w:rPr>
            </w:pPr>
            <w:r>
              <w:rPr>
                <w:rFonts w:hint="eastAsia" w:cs="Arial" w:asciiTheme="minorEastAsia" w:hAnsiTheme="minorEastAsia"/>
                <w:kern w:val="0"/>
                <w:sz w:val="21"/>
                <w:szCs w:val="21"/>
                <w:lang w:val="en-US" w:eastAsia="zh-CN"/>
              </w:rPr>
              <w:t>日常检查</w:t>
            </w:r>
          </w:p>
          <w:p>
            <w:pPr>
              <w:rPr>
                <w:rFonts w:hint="eastAsia" w:cs="Arial" w:asciiTheme="minorEastAsia" w:hAnsiTheme="minorEastAsia"/>
                <w:kern w:val="0"/>
                <w:sz w:val="21"/>
                <w:szCs w:val="21"/>
                <w:lang w:val="en-US" w:eastAsia="zh-CN"/>
              </w:rPr>
            </w:pPr>
            <w:r>
              <w:rPr>
                <w:rFonts w:hint="eastAsia" w:cs="Arial" w:asciiTheme="minorEastAsia" w:hAnsiTheme="minorEastAsia"/>
                <w:kern w:val="0"/>
                <w:sz w:val="21"/>
                <w:szCs w:val="21"/>
                <w:lang w:val="en-US" w:eastAsia="zh-CN"/>
              </w:rPr>
              <w:t>专项检查</w:t>
            </w:r>
          </w:p>
          <w:p>
            <w:pPr>
              <w:rPr>
                <w:rFonts w:cs="宋体" w:asciiTheme="minorEastAsia" w:hAnsiTheme="minorEastAsia" w:eastAsiaTheme="minorEastAsia"/>
                <w:kern w:val="0"/>
                <w:sz w:val="21"/>
                <w:szCs w:val="21"/>
              </w:rPr>
            </w:pPr>
          </w:p>
        </w:tc>
        <w:tc>
          <w:tcPr>
            <w:tcW w:w="1792" w:type="dxa"/>
            <w:tcBorders>
              <w:top w:val="single" w:color="auto" w:sz="4" w:space="0"/>
              <w:bottom w:val="single" w:color="auto" w:sz="4" w:space="0"/>
            </w:tcBorders>
          </w:tcPr>
          <w:p>
            <w:pPr>
              <w:rPr>
                <w:rFonts w:cs="宋体"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重点监管，非现场监管。</w:t>
            </w:r>
          </w:p>
        </w:tc>
        <w:tc>
          <w:tcPr>
            <w:tcW w:w="1470" w:type="dxa"/>
            <w:gridSpan w:val="2"/>
            <w:tcBorders>
              <w:top w:val="single" w:color="auto" w:sz="4" w:space="0"/>
              <w:bottom w:val="single" w:color="auto" w:sz="4" w:space="0"/>
            </w:tcBorders>
          </w:tcPr>
          <w:p>
            <w:pPr>
              <w:rPr>
                <w:rFonts w:cs="宋体" w:asciiTheme="minorEastAsia" w:hAnsiTheme="minorEastAsia" w:eastAsiaTheme="minorEastAsia"/>
                <w:kern w:val="0"/>
                <w:sz w:val="21"/>
                <w:szCs w:val="21"/>
              </w:rPr>
            </w:pPr>
            <w:r>
              <w:rPr>
                <w:rFonts w:hint="eastAsia" w:asciiTheme="minorEastAsia" w:hAnsiTheme="minorEastAsia" w:eastAsiaTheme="minorEastAsia" w:cstheme="minorEastAsia"/>
                <w:kern w:val="0"/>
                <w:sz w:val="21"/>
                <w:szCs w:val="21"/>
              </w:rPr>
              <w:t>内乡县</w:t>
            </w:r>
            <w:r>
              <w:rPr>
                <w:rFonts w:hint="eastAsia" w:asciiTheme="minorEastAsia" w:hAnsiTheme="minorEastAsia" w:cstheme="minorEastAsia"/>
                <w:kern w:val="0"/>
                <w:sz w:val="21"/>
                <w:szCs w:val="21"/>
                <w:lang w:eastAsia="zh-CN"/>
              </w:rPr>
              <w:t>文化广电和旅游局</w:t>
            </w:r>
          </w:p>
        </w:tc>
        <w:tc>
          <w:tcPr>
            <w:tcW w:w="5369" w:type="dxa"/>
            <w:gridSpan w:val="2"/>
            <w:tcBorders>
              <w:top w:val="single" w:color="auto" w:sz="4" w:space="0"/>
              <w:bottom w:val="single" w:color="auto" w:sz="4" w:space="0"/>
            </w:tcBorders>
          </w:tcPr>
          <w:p>
            <w:pPr>
              <w:rPr>
                <w:rFonts w:cs="宋体"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1.《广播电视管理条例》第三十一条“广播电视节目由广播电台、电视台和省级以上人民政府广播电视行政部门批准设立的广播电视节目制作经营单位制作。广播电台、电视台不得播放未取得广播电视节目制作经营许可的单位制作的广播电视节目。”2.《广播电视节目制作经营管理规定》第四条“国家对设立广播电视节目制作经营机构或从事广播电视节目制作经营活动实行许可制度。设立广播电视节目制作经营机构或从事广播电视节目制作经营活动应当取得《广播电视节目制作经营许可证》。”具体管理规定另见第二十一条、二十二条、二十三条、二十四条、二十五条、二十六条、二十七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53" w:hRule="atLeast"/>
        </w:trPr>
        <w:tc>
          <w:tcPr>
            <w:tcW w:w="667" w:type="dxa"/>
            <w:tcBorders>
              <w:top w:val="single" w:color="auto" w:sz="4" w:space="0"/>
              <w:bottom w:val="single" w:color="auto" w:sz="4" w:space="0"/>
            </w:tcBorders>
          </w:tcPr>
          <w:p>
            <w:pPr>
              <w:rPr>
                <w:rFonts w:hint="default" w:cs="宋体" w:asciiTheme="minorEastAsia" w:hAnsiTheme="minorEastAsia" w:eastAsiaTheme="minorEastAsia"/>
                <w:kern w:val="0"/>
                <w:sz w:val="21"/>
                <w:szCs w:val="21"/>
                <w:lang w:val="en-US" w:eastAsia="zh-CN"/>
              </w:rPr>
            </w:pPr>
            <w:r>
              <w:rPr>
                <w:rFonts w:hint="eastAsia" w:cs="宋体" w:asciiTheme="minorEastAsia" w:hAnsiTheme="minorEastAsia"/>
                <w:kern w:val="0"/>
                <w:sz w:val="21"/>
                <w:szCs w:val="21"/>
                <w:lang w:val="en-US" w:eastAsia="zh-CN"/>
              </w:rPr>
              <w:t>11</w:t>
            </w:r>
          </w:p>
        </w:tc>
        <w:tc>
          <w:tcPr>
            <w:tcW w:w="1138" w:type="dxa"/>
            <w:tcBorders>
              <w:top w:val="single" w:color="auto" w:sz="4" w:space="0"/>
              <w:bottom w:val="single" w:color="auto" w:sz="4" w:space="0"/>
              <w:right w:val="single" w:color="auto" w:sz="4" w:space="0"/>
            </w:tcBorders>
          </w:tcPr>
          <w:p>
            <w:pPr>
              <w:rPr>
                <w:rFonts w:cs="宋体" w:asciiTheme="minorEastAsia" w:hAnsiTheme="minorEastAsia" w:eastAsiaTheme="minorEastAsia"/>
                <w:kern w:val="0"/>
                <w:sz w:val="21"/>
                <w:szCs w:val="21"/>
              </w:rPr>
            </w:pPr>
            <w:r>
              <w:rPr>
                <w:rFonts w:hint="eastAsia" w:cs="Arial" w:asciiTheme="minorEastAsia" w:hAnsiTheme="minorEastAsia" w:eastAsiaTheme="minorEastAsia"/>
                <w:kern w:val="0"/>
                <w:sz w:val="21"/>
                <w:szCs w:val="21"/>
              </w:rPr>
              <w:t>对非法互联网视听节目服务单位的监管</w:t>
            </w:r>
          </w:p>
        </w:tc>
        <w:tc>
          <w:tcPr>
            <w:tcW w:w="995" w:type="dxa"/>
            <w:tcBorders>
              <w:top w:val="single" w:color="auto" w:sz="4" w:space="0"/>
              <w:left w:val="single" w:color="auto" w:sz="4" w:space="0"/>
              <w:bottom w:val="single" w:color="auto" w:sz="4" w:space="0"/>
            </w:tcBorders>
          </w:tcPr>
          <w:p>
            <w:pPr>
              <w:rPr>
                <w:rFonts w:cs="Arial" w:asciiTheme="minorEastAsia" w:hAnsiTheme="minorEastAsia" w:eastAsiaTheme="minorEastAsia"/>
                <w:kern w:val="0"/>
                <w:sz w:val="21"/>
                <w:szCs w:val="21"/>
              </w:rPr>
            </w:pPr>
            <w:r>
              <w:rPr>
                <w:rFonts w:hint="eastAsia" w:cs="Arial" w:asciiTheme="minorEastAsia" w:hAnsiTheme="minorEastAsia" w:eastAsiaTheme="minorEastAsia"/>
                <w:kern w:val="0"/>
                <w:sz w:val="21"/>
                <w:szCs w:val="21"/>
              </w:rPr>
              <w:t>对非法互联网视听节目服务单位的行政检查</w:t>
            </w:r>
          </w:p>
          <w:p>
            <w:pPr>
              <w:rPr>
                <w:rFonts w:cs="宋体" w:asciiTheme="minorEastAsia" w:hAnsiTheme="minorEastAsia" w:eastAsiaTheme="minorEastAsia"/>
                <w:kern w:val="0"/>
                <w:sz w:val="21"/>
                <w:szCs w:val="21"/>
              </w:rPr>
            </w:pPr>
          </w:p>
        </w:tc>
        <w:tc>
          <w:tcPr>
            <w:tcW w:w="1701" w:type="dxa"/>
            <w:tcBorders>
              <w:top w:val="single" w:color="auto" w:sz="4" w:space="0"/>
              <w:bottom w:val="single" w:color="auto" w:sz="4" w:space="0"/>
            </w:tcBorders>
          </w:tcPr>
          <w:p>
            <w:pPr>
              <w:rPr>
                <w:rFonts w:cs="Arial" w:asciiTheme="minorEastAsia" w:hAnsiTheme="minorEastAsia" w:eastAsiaTheme="minorEastAsia"/>
                <w:kern w:val="0"/>
                <w:sz w:val="21"/>
                <w:szCs w:val="21"/>
              </w:rPr>
            </w:pPr>
            <w:r>
              <w:rPr>
                <w:rFonts w:hint="eastAsia" w:cs="Arial" w:asciiTheme="minorEastAsia" w:hAnsiTheme="minorEastAsia" w:eastAsiaTheme="minorEastAsia"/>
                <w:kern w:val="0"/>
                <w:sz w:val="21"/>
                <w:szCs w:val="21"/>
              </w:rPr>
              <w:t>非法互联网视听节目服务单位</w:t>
            </w:r>
          </w:p>
          <w:p>
            <w:pPr>
              <w:rPr>
                <w:rFonts w:cs="宋体" w:asciiTheme="minorEastAsia" w:hAnsiTheme="minorEastAsia" w:eastAsiaTheme="minorEastAsia"/>
                <w:kern w:val="0"/>
                <w:sz w:val="21"/>
                <w:szCs w:val="21"/>
              </w:rPr>
            </w:pPr>
          </w:p>
        </w:tc>
        <w:tc>
          <w:tcPr>
            <w:tcW w:w="1561" w:type="dxa"/>
            <w:tcBorders>
              <w:top w:val="single" w:color="auto" w:sz="4" w:space="0"/>
              <w:bottom w:val="single" w:color="auto" w:sz="4" w:space="0"/>
            </w:tcBorders>
          </w:tcPr>
          <w:p>
            <w:pPr>
              <w:rPr>
                <w:rFonts w:hint="eastAsia" w:cs="Arial" w:asciiTheme="minorEastAsia" w:hAnsiTheme="minorEastAsia"/>
                <w:kern w:val="0"/>
                <w:sz w:val="21"/>
                <w:szCs w:val="21"/>
                <w:lang w:val="en-US" w:eastAsia="zh-CN"/>
              </w:rPr>
            </w:pPr>
            <w:r>
              <w:rPr>
                <w:rFonts w:hint="eastAsia" w:cs="Arial" w:asciiTheme="minorEastAsia" w:hAnsiTheme="minorEastAsia"/>
                <w:kern w:val="0"/>
                <w:sz w:val="21"/>
                <w:szCs w:val="21"/>
                <w:lang w:val="en-US" w:eastAsia="zh-CN"/>
              </w:rPr>
              <w:t>日常检查</w:t>
            </w:r>
          </w:p>
          <w:p>
            <w:pPr>
              <w:rPr>
                <w:rFonts w:hint="eastAsia" w:cs="Arial" w:asciiTheme="minorEastAsia" w:hAnsiTheme="minorEastAsia"/>
                <w:kern w:val="0"/>
                <w:sz w:val="21"/>
                <w:szCs w:val="21"/>
                <w:lang w:val="en-US" w:eastAsia="zh-CN"/>
              </w:rPr>
            </w:pPr>
            <w:r>
              <w:rPr>
                <w:rFonts w:hint="eastAsia" w:cs="Arial" w:asciiTheme="minorEastAsia" w:hAnsiTheme="minorEastAsia"/>
                <w:kern w:val="0"/>
                <w:sz w:val="21"/>
                <w:szCs w:val="21"/>
                <w:lang w:val="en-US" w:eastAsia="zh-CN"/>
              </w:rPr>
              <w:t>专项检查</w:t>
            </w:r>
          </w:p>
          <w:p>
            <w:pPr>
              <w:rPr>
                <w:rFonts w:cs="宋体" w:asciiTheme="minorEastAsia" w:hAnsiTheme="minorEastAsia" w:eastAsiaTheme="minorEastAsia"/>
                <w:kern w:val="0"/>
                <w:sz w:val="21"/>
                <w:szCs w:val="21"/>
              </w:rPr>
            </w:pPr>
          </w:p>
        </w:tc>
        <w:tc>
          <w:tcPr>
            <w:tcW w:w="1792" w:type="dxa"/>
            <w:tcBorders>
              <w:top w:val="single" w:color="auto" w:sz="4" w:space="0"/>
              <w:bottom w:val="single" w:color="auto" w:sz="4" w:space="0"/>
            </w:tcBorders>
          </w:tcPr>
          <w:p>
            <w:pPr>
              <w:rPr>
                <w:rFonts w:cs="宋体"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1. “双随机、一公开”监管；2. 重点监管；3. 信用监管；4. 非现场监管。</w:t>
            </w:r>
          </w:p>
        </w:tc>
        <w:tc>
          <w:tcPr>
            <w:tcW w:w="1470" w:type="dxa"/>
            <w:gridSpan w:val="2"/>
            <w:tcBorders>
              <w:top w:val="single" w:color="auto" w:sz="4" w:space="0"/>
              <w:bottom w:val="single" w:color="auto" w:sz="4" w:space="0"/>
            </w:tcBorders>
          </w:tcPr>
          <w:p>
            <w:pPr>
              <w:rPr>
                <w:rFonts w:cs="宋体" w:asciiTheme="minorEastAsia" w:hAnsiTheme="minorEastAsia" w:eastAsiaTheme="minorEastAsia"/>
                <w:kern w:val="0"/>
                <w:sz w:val="21"/>
                <w:szCs w:val="21"/>
              </w:rPr>
            </w:pPr>
            <w:r>
              <w:rPr>
                <w:rFonts w:hint="eastAsia" w:asciiTheme="minorEastAsia" w:hAnsiTheme="minorEastAsia" w:eastAsiaTheme="minorEastAsia" w:cstheme="minorEastAsia"/>
                <w:kern w:val="0"/>
                <w:sz w:val="21"/>
                <w:szCs w:val="21"/>
              </w:rPr>
              <w:t>内乡县</w:t>
            </w:r>
            <w:r>
              <w:rPr>
                <w:rFonts w:hint="eastAsia" w:asciiTheme="minorEastAsia" w:hAnsiTheme="minorEastAsia" w:cstheme="minorEastAsia"/>
                <w:kern w:val="0"/>
                <w:sz w:val="21"/>
                <w:szCs w:val="21"/>
                <w:lang w:eastAsia="zh-CN"/>
              </w:rPr>
              <w:t>文化广电和旅游局</w:t>
            </w:r>
          </w:p>
        </w:tc>
        <w:tc>
          <w:tcPr>
            <w:tcW w:w="5369" w:type="dxa"/>
            <w:gridSpan w:val="2"/>
            <w:tcBorders>
              <w:top w:val="single" w:color="auto" w:sz="4" w:space="0"/>
              <w:bottom w:val="single" w:color="auto" w:sz="4" w:space="0"/>
            </w:tcBorders>
          </w:tcPr>
          <w:p>
            <w:pPr>
              <w:rPr>
                <w:rFonts w:cs="宋体"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互联网视听节目服务管理规定》第三条：“国务院广播电影电视主管部门作为互联网视听节目服务的行业主管部门，负责对互联网视听节目服务实施监管管理，统筹互联网视听节目服务的产业发展、行业管理、内容建设和安全监管。……地方人民政府广播电影电视主管部门和地方电信管理机构依据各自职责对本行政区域内的互联网视听节目服务单位及接入服务实施相应的监督管理”；第二十二条：“广播电影电视主管部门依法对互联网视听节目服务单位进行实地检查，有关单位和个人应当予以配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58" w:hRule="atLeast"/>
        </w:trPr>
        <w:tc>
          <w:tcPr>
            <w:tcW w:w="667" w:type="dxa"/>
            <w:tcBorders>
              <w:top w:val="single" w:color="auto" w:sz="4" w:space="0"/>
            </w:tcBorders>
          </w:tcPr>
          <w:p>
            <w:pPr>
              <w:rPr>
                <w:rFonts w:hint="default" w:cs="宋体" w:asciiTheme="minorEastAsia" w:hAnsiTheme="minorEastAsia" w:eastAsiaTheme="minorEastAsia"/>
                <w:kern w:val="0"/>
                <w:sz w:val="21"/>
                <w:szCs w:val="21"/>
                <w:lang w:val="en-US" w:eastAsia="zh-CN"/>
              </w:rPr>
            </w:pPr>
            <w:r>
              <w:rPr>
                <w:rFonts w:hint="eastAsia" w:cs="宋体" w:asciiTheme="minorEastAsia" w:hAnsiTheme="minorEastAsia"/>
                <w:kern w:val="0"/>
                <w:sz w:val="21"/>
                <w:szCs w:val="21"/>
                <w:lang w:val="en-US" w:eastAsia="zh-CN"/>
              </w:rPr>
              <w:t>12</w:t>
            </w:r>
          </w:p>
        </w:tc>
        <w:tc>
          <w:tcPr>
            <w:tcW w:w="1138" w:type="dxa"/>
            <w:tcBorders>
              <w:top w:val="single" w:color="auto" w:sz="4" w:space="0"/>
              <w:bottom w:val="single" w:color="auto" w:sz="4" w:space="0"/>
              <w:right w:val="single" w:color="auto" w:sz="4" w:space="0"/>
            </w:tcBorders>
          </w:tcPr>
          <w:p>
            <w:pPr>
              <w:rPr>
                <w:rFonts w:cs="宋体" w:asciiTheme="minorEastAsia" w:hAnsiTheme="minorEastAsia" w:eastAsiaTheme="minorEastAsia"/>
                <w:kern w:val="0"/>
                <w:sz w:val="21"/>
                <w:szCs w:val="21"/>
              </w:rPr>
            </w:pPr>
            <w:r>
              <w:rPr>
                <w:rFonts w:hint="eastAsia" w:cs="Arial" w:asciiTheme="minorEastAsia" w:hAnsiTheme="minorEastAsia" w:eastAsiaTheme="minorEastAsia"/>
                <w:kern w:val="0"/>
                <w:sz w:val="21"/>
                <w:szCs w:val="21"/>
              </w:rPr>
              <w:t>对广播电台、电视台出租转让播出时段或与系统外机构合资、合作经营广播电视频道（率）、播出时段，未经批准与其它播出机构合办广播电视频道（率）的监管</w:t>
            </w:r>
          </w:p>
        </w:tc>
        <w:tc>
          <w:tcPr>
            <w:tcW w:w="995" w:type="dxa"/>
            <w:tcBorders>
              <w:top w:val="single" w:color="auto" w:sz="4" w:space="0"/>
              <w:left w:val="single" w:color="auto" w:sz="4" w:space="0"/>
              <w:bottom w:val="single" w:color="auto" w:sz="4" w:space="0"/>
            </w:tcBorders>
          </w:tcPr>
          <w:p>
            <w:pPr>
              <w:rPr>
                <w:rFonts w:cs="宋体" w:asciiTheme="minorEastAsia" w:hAnsiTheme="minorEastAsia" w:eastAsiaTheme="minorEastAsia"/>
                <w:kern w:val="0"/>
                <w:sz w:val="21"/>
                <w:szCs w:val="21"/>
              </w:rPr>
            </w:pPr>
            <w:r>
              <w:rPr>
                <w:rFonts w:hint="eastAsia" w:cs="Arial" w:asciiTheme="minorEastAsia" w:hAnsiTheme="minorEastAsia" w:eastAsiaTheme="minorEastAsia"/>
                <w:kern w:val="0"/>
                <w:sz w:val="21"/>
                <w:szCs w:val="21"/>
              </w:rPr>
              <w:t>对广播电台、电视台出租转让播出时段或与系统外机构合资、合作经营广播电视频道（率）、播出时段，与其它播出机构合办广播电视频道（率）的行政检查</w:t>
            </w:r>
          </w:p>
        </w:tc>
        <w:tc>
          <w:tcPr>
            <w:tcW w:w="1701" w:type="dxa"/>
            <w:tcBorders>
              <w:top w:val="single" w:color="auto" w:sz="4" w:space="0"/>
              <w:bottom w:val="single" w:color="auto" w:sz="4" w:space="0"/>
            </w:tcBorders>
          </w:tcPr>
          <w:p>
            <w:pPr>
              <w:rPr>
                <w:rFonts w:cs="宋体" w:asciiTheme="minorEastAsia" w:hAnsiTheme="minorEastAsia" w:eastAsiaTheme="minorEastAsia"/>
                <w:kern w:val="0"/>
                <w:sz w:val="21"/>
                <w:szCs w:val="21"/>
              </w:rPr>
            </w:pPr>
            <w:r>
              <w:rPr>
                <w:rFonts w:hint="eastAsia" w:cs="Arial" w:asciiTheme="minorEastAsia" w:hAnsiTheme="minorEastAsia" w:eastAsiaTheme="minorEastAsia"/>
                <w:kern w:val="0"/>
                <w:sz w:val="21"/>
                <w:szCs w:val="21"/>
              </w:rPr>
              <w:t>广播电台、电视台</w:t>
            </w:r>
          </w:p>
        </w:tc>
        <w:tc>
          <w:tcPr>
            <w:tcW w:w="1561" w:type="dxa"/>
            <w:tcBorders>
              <w:top w:val="single" w:color="auto" w:sz="4" w:space="0"/>
              <w:bottom w:val="single" w:color="auto" w:sz="4" w:space="0"/>
            </w:tcBorders>
          </w:tcPr>
          <w:p>
            <w:pPr>
              <w:rPr>
                <w:rFonts w:hint="eastAsia" w:cs="Arial" w:asciiTheme="minorEastAsia" w:hAnsiTheme="minorEastAsia"/>
                <w:kern w:val="0"/>
                <w:sz w:val="21"/>
                <w:szCs w:val="21"/>
                <w:lang w:val="en-US" w:eastAsia="zh-CN"/>
              </w:rPr>
            </w:pPr>
            <w:r>
              <w:rPr>
                <w:rFonts w:hint="eastAsia" w:cs="Arial" w:asciiTheme="minorEastAsia" w:hAnsiTheme="minorEastAsia"/>
                <w:kern w:val="0"/>
                <w:sz w:val="21"/>
                <w:szCs w:val="21"/>
                <w:lang w:val="en-US" w:eastAsia="zh-CN"/>
              </w:rPr>
              <w:t>日常检查</w:t>
            </w:r>
          </w:p>
          <w:p>
            <w:pPr>
              <w:rPr>
                <w:rFonts w:hint="eastAsia" w:cs="Arial" w:asciiTheme="minorEastAsia" w:hAnsiTheme="minorEastAsia"/>
                <w:kern w:val="0"/>
                <w:sz w:val="21"/>
                <w:szCs w:val="21"/>
                <w:lang w:val="en-US" w:eastAsia="zh-CN"/>
              </w:rPr>
            </w:pPr>
            <w:r>
              <w:rPr>
                <w:rFonts w:hint="eastAsia" w:cs="Arial" w:asciiTheme="minorEastAsia" w:hAnsiTheme="minorEastAsia"/>
                <w:kern w:val="0"/>
                <w:sz w:val="21"/>
                <w:szCs w:val="21"/>
                <w:lang w:val="en-US" w:eastAsia="zh-CN"/>
              </w:rPr>
              <w:t>专项检查</w:t>
            </w:r>
          </w:p>
          <w:p>
            <w:pPr>
              <w:rPr>
                <w:rFonts w:cs="宋体" w:asciiTheme="minorEastAsia" w:hAnsiTheme="minorEastAsia" w:eastAsiaTheme="minorEastAsia"/>
                <w:kern w:val="0"/>
                <w:sz w:val="21"/>
                <w:szCs w:val="21"/>
              </w:rPr>
            </w:pPr>
          </w:p>
        </w:tc>
        <w:tc>
          <w:tcPr>
            <w:tcW w:w="1792" w:type="dxa"/>
            <w:tcBorders>
              <w:top w:val="single" w:color="auto" w:sz="4" w:space="0"/>
              <w:bottom w:val="single" w:color="auto" w:sz="4" w:space="0"/>
            </w:tcBorders>
          </w:tcPr>
          <w:p>
            <w:pPr>
              <w:rPr>
                <w:rFonts w:cs="宋体"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双随机一公开”监管、重点监管、非现场监管</w:t>
            </w:r>
          </w:p>
        </w:tc>
        <w:tc>
          <w:tcPr>
            <w:tcW w:w="1470" w:type="dxa"/>
            <w:gridSpan w:val="2"/>
            <w:tcBorders>
              <w:top w:val="single" w:color="auto" w:sz="4" w:space="0"/>
              <w:bottom w:val="single" w:color="auto" w:sz="4" w:space="0"/>
            </w:tcBorders>
          </w:tcPr>
          <w:p>
            <w:pPr>
              <w:rPr>
                <w:rFonts w:cs="宋体" w:asciiTheme="minorEastAsia" w:hAnsiTheme="minorEastAsia" w:eastAsiaTheme="minorEastAsia"/>
                <w:kern w:val="0"/>
                <w:sz w:val="21"/>
                <w:szCs w:val="21"/>
              </w:rPr>
            </w:pPr>
            <w:r>
              <w:rPr>
                <w:rFonts w:hint="eastAsia" w:asciiTheme="minorEastAsia" w:hAnsiTheme="minorEastAsia" w:eastAsiaTheme="minorEastAsia" w:cstheme="minorEastAsia"/>
                <w:kern w:val="0"/>
                <w:sz w:val="21"/>
                <w:szCs w:val="21"/>
              </w:rPr>
              <w:t>内乡县</w:t>
            </w:r>
            <w:r>
              <w:rPr>
                <w:rFonts w:hint="eastAsia" w:asciiTheme="minorEastAsia" w:hAnsiTheme="minorEastAsia" w:cstheme="minorEastAsia"/>
                <w:kern w:val="0"/>
                <w:sz w:val="21"/>
                <w:szCs w:val="21"/>
                <w:lang w:eastAsia="zh-CN"/>
              </w:rPr>
              <w:t>文化广电和旅游局</w:t>
            </w:r>
          </w:p>
        </w:tc>
        <w:tc>
          <w:tcPr>
            <w:tcW w:w="5369" w:type="dxa"/>
            <w:gridSpan w:val="2"/>
            <w:tcBorders>
              <w:top w:val="single" w:color="auto" w:sz="4" w:space="0"/>
              <w:bottom w:val="single" w:color="auto" w:sz="4" w:space="0"/>
            </w:tcBorders>
          </w:tcPr>
          <w:p>
            <w:pPr>
              <w:rPr>
                <w:rFonts w:cs="宋体"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 xml:space="preserve">1.《广播电视管理条例》第五十条：“违反本条例规定，有下列行为之一的，由县级以上人民政府广播电视行政部门责令停止违法活动，给予警告，没收违法所得，可以并处2万元以下的罚款；情节严重的，由原批准机关吊销许可证：（二）出租转让播出时段的”。                   2.《广播电视播出机构违规处理办法（试行）》第四：“对有下列违规行为之一的广播电视播出机构，县级以上人民政府广播影视行政部门应首先按照《广播电视管理条例》的有关规定，责令其停止违规活动：（三）擅自出租、转让或与系统外机构合资、合作经营广播电视频道（率）、播出时段的；（四）未经批准与其它播出机构合办广播电视频道（率）的”。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80" w:hRule="atLeast"/>
        </w:trPr>
        <w:tc>
          <w:tcPr>
            <w:tcW w:w="667" w:type="dxa"/>
            <w:tcBorders>
              <w:top w:val="single" w:color="auto" w:sz="4" w:space="0"/>
              <w:bottom w:val="single" w:color="auto" w:sz="4" w:space="0"/>
            </w:tcBorders>
          </w:tcPr>
          <w:p>
            <w:pPr>
              <w:rPr>
                <w:rFonts w:hint="default" w:cs="宋体" w:asciiTheme="minorEastAsia" w:hAnsiTheme="minorEastAsia" w:eastAsiaTheme="minorEastAsia"/>
                <w:kern w:val="0"/>
                <w:sz w:val="21"/>
                <w:szCs w:val="21"/>
                <w:lang w:val="en-US" w:eastAsia="zh-CN"/>
              </w:rPr>
            </w:pPr>
            <w:r>
              <w:rPr>
                <w:rFonts w:hint="eastAsia" w:cs="宋体" w:asciiTheme="minorEastAsia" w:hAnsiTheme="minorEastAsia"/>
                <w:kern w:val="0"/>
                <w:sz w:val="21"/>
                <w:szCs w:val="21"/>
                <w:lang w:val="en-US" w:eastAsia="zh-CN"/>
              </w:rPr>
              <w:t>13</w:t>
            </w:r>
          </w:p>
        </w:tc>
        <w:tc>
          <w:tcPr>
            <w:tcW w:w="1138" w:type="dxa"/>
            <w:tcBorders>
              <w:top w:val="single" w:color="auto" w:sz="4" w:space="0"/>
              <w:bottom w:val="single" w:color="auto" w:sz="4" w:space="0"/>
              <w:right w:val="single" w:color="auto" w:sz="4" w:space="0"/>
            </w:tcBorders>
          </w:tcPr>
          <w:p>
            <w:pPr>
              <w:rPr>
                <w:rFonts w:cs="宋体" w:asciiTheme="minorEastAsia" w:hAnsiTheme="minorEastAsia" w:eastAsiaTheme="minorEastAsia"/>
                <w:kern w:val="0"/>
                <w:sz w:val="21"/>
                <w:szCs w:val="21"/>
              </w:rPr>
            </w:pPr>
            <w:r>
              <w:rPr>
                <w:rFonts w:hint="eastAsia" w:cs="Arial" w:asciiTheme="minorEastAsia" w:hAnsiTheme="minorEastAsia" w:eastAsiaTheme="minorEastAsia"/>
                <w:kern w:val="0"/>
                <w:sz w:val="21"/>
                <w:szCs w:val="21"/>
              </w:rPr>
              <w:t>对广播电视设施保护的监管</w:t>
            </w:r>
          </w:p>
        </w:tc>
        <w:tc>
          <w:tcPr>
            <w:tcW w:w="995" w:type="dxa"/>
            <w:tcBorders>
              <w:top w:val="single" w:color="auto" w:sz="4" w:space="0"/>
              <w:left w:val="single" w:color="auto" w:sz="4" w:space="0"/>
              <w:bottom w:val="single" w:color="auto" w:sz="4" w:space="0"/>
            </w:tcBorders>
          </w:tcPr>
          <w:p>
            <w:pPr>
              <w:rPr>
                <w:rFonts w:cs="宋体" w:asciiTheme="minorEastAsia" w:hAnsiTheme="minorEastAsia" w:eastAsiaTheme="minorEastAsia"/>
                <w:kern w:val="0"/>
                <w:sz w:val="21"/>
                <w:szCs w:val="21"/>
              </w:rPr>
            </w:pPr>
            <w:r>
              <w:rPr>
                <w:rFonts w:hint="eastAsia" w:cs="Arial" w:asciiTheme="minorEastAsia" w:hAnsiTheme="minorEastAsia" w:eastAsiaTheme="minorEastAsia"/>
                <w:kern w:val="0"/>
                <w:sz w:val="21"/>
                <w:szCs w:val="21"/>
              </w:rPr>
              <w:t>对广播电视设施保护的行政检查</w:t>
            </w:r>
          </w:p>
        </w:tc>
        <w:tc>
          <w:tcPr>
            <w:tcW w:w="1701" w:type="dxa"/>
            <w:tcBorders>
              <w:top w:val="single" w:color="auto" w:sz="4" w:space="0"/>
              <w:bottom w:val="single" w:color="auto" w:sz="4" w:space="0"/>
            </w:tcBorders>
          </w:tcPr>
          <w:p>
            <w:pPr>
              <w:rPr>
                <w:rFonts w:cs="宋体" w:asciiTheme="minorEastAsia" w:hAnsiTheme="minorEastAsia" w:eastAsiaTheme="minorEastAsia"/>
                <w:kern w:val="0"/>
                <w:sz w:val="21"/>
                <w:szCs w:val="21"/>
              </w:rPr>
            </w:pPr>
            <w:r>
              <w:rPr>
                <w:rFonts w:hint="eastAsia" w:cs="Arial" w:asciiTheme="minorEastAsia" w:hAnsiTheme="minorEastAsia" w:eastAsiaTheme="minorEastAsia"/>
                <w:kern w:val="0"/>
                <w:sz w:val="21"/>
                <w:szCs w:val="21"/>
              </w:rPr>
              <w:t>广播电视设施保护责任单位</w:t>
            </w:r>
          </w:p>
        </w:tc>
        <w:tc>
          <w:tcPr>
            <w:tcW w:w="1561" w:type="dxa"/>
            <w:tcBorders>
              <w:top w:val="single" w:color="auto" w:sz="4" w:space="0"/>
              <w:bottom w:val="single" w:color="auto" w:sz="4" w:space="0"/>
            </w:tcBorders>
          </w:tcPr>
          <w:p>
            <w:pPr>
              <w:rPr>
                <w:rFonts w:hint="eastAsia" w:cs="Arial" w:asciiTheme="minorEastAsia" w:hAnsiTheme="minorEastAsia"/>
                <w:kern w:val="0"/>
                <w:sz w:val="21"/>
                <w:szCs w:val="21"/>
                <w:lang w:val="en-US" w:eastAsia="zh-CN"/>
              </w:rPr>
            </w:pPr>
            <w:r>
              <w:rPr>
                <w:rFonts w:hint="eastAsia" w:cs="Arial" w:asciiTheme="minorEastAsia" w:hAnsiTheme="minorEastAsia"/>
                <w:kern w:val="0"/>
                <w:sz w:val="21"/>
                <w:szCs w:val="21"/>
                <w:lang w:val="en-US" w:eastAsia="zh-CN"/>
              </w:rPr>
              <w:t>日常检查</w:t>
            </w:r>
          </w:p>
          <w:p>
            <w:pPr>
              <w:rPr>
                <w:rFonts w:hint="eastAsia" w:cs="Arial" w:asciiTheme="minorEastAsia" w:hAnsiTheme="minorEastAsia"/>
                <w:kern w:val="0"/>
                <w:sz w:val="21"/>
                <w:szCs w:val="21"/>
                <w:lang w:val="en-US" w:eastAsia="zh-CN"/>
              </w:rPr>
            </w:pPr>
            <w:r>
              <w:rPr>
                <w:rFonts w:hint="eastAsia" w:cs="Arial" w:asciiTheme="minorEastAsia" w:hAnsiTheme="minorEastAsia"/>
                <w:kern w:val="0"/>
                <w:sz w:val="21"/>
                <w:szCs w:val="21"/>
                <w:lang w:val="en-US" w:eastAsia="zh-CN"/>
              </w:rPr>
              <w:t>专项检查</w:t>
            </w:r>
          </w:p>
          <w:p>
            <w:pPr>
              <w:rPr>
                <w:rFonts w:cs="宋体" w:asciiTheme="minorEastAsia" w:hAnsiTheme="minorEastAsia" w:eastAsiaTheme="minorEastAsia"/>
                <w:kern w:val="0"/>
                <w:sz w:val="21"/>
                <w:szCs w:val="21"/>
              </w:rPr>
            </w:pPr>
          </w:p>
        </w:tc>
        <w:tc>
          <w:tcPr>
            <w:tcW w:w="1792" w:type="dxa"/>
            <w:tcBorders>
              <w:top w:val="single" w:color="auto" w:sz="4" w:space="0"/>
              <w:bottom w:val="single" w:color="auto" w:sz="4" w:space="0"/>
            </w:tcBorders>
          </w:tcPr>
          <w:p>
            <w:pPr>
              <w:rPr>
                <w:rFonts w:cs="宋体"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1.重点监管</w:t>
            </w:r>
          </w:p>
        </w:tc>
        <w:tc>
          <w:tcPr>
            <w:tcW w:w="1470" w:type="dxa"/>
            <w:gridSpan w:val="2"/>
            <w:tcBorders>
              <w:top w:val="single" w:color="auto" w:sz="4" w:space="0"/>
              <w:bottom w:val="single" w:color="auto" w:sz="4" w:space="0"/>
            </w:tcBorders>
          </w:tcPr>
          <w:p>
            <w:pPr>
              <w:rPr>
                <w:rFonts w:cs="宋体" w:asciiTheme="minorEastAsia" w:hAnsiTheme="minorEastAsia" w:eastAsiaTheme="minorEastAsia"/>
                <w:kern w:val="0"/>
                <w:sz w:val="21"/>
                <w:szCs w:val="21"/>
              </w:rPr>
            </w:pPr>
            <w:r>
              <w:rPr>
                <w:rFonts w:hint="eastAsia" w:asciiTheme="minorEastAsia" w:hAnsiTheme="minorEastAsia" w:eastAsiaTheme="minorEastAsia" w:cstheme="minorEastAsia"/>
                <w:kern w:val="0"/>
                <w:sz w:val="21"/>
                <w:szCs w:val="21"/>
              </w:rPr>
              <w:t>内乡县</w:t>
            </w:r>
            <w:r>
              <w:rPr>
                <w:rFonts w:hint="eastAsia" w:asciiTheme="minorEastAsia" w:hAnsiTheme="minorEastAsia" w:cstheme="minorEastAsia"/>
                <w:kern w:val="0"/>
                <w:sz w:val="21"/>
                <w:szCs w:val="21"/>
                <w:lang w:eastAsia="zh-CN"/>
              </w:rPr>
              <w:t>文化广电和旅游局</w:t>
            </w:r>
          </w:p>
        </w:tc>
        <w:tc>
          <w:tcPr>
            <w:tcW w:w="5369" w:type="dxa"/>
            <w:gridSpan w:val="2"/>
            <w:tcBorders>
              <w:top w:val="single" w:color="auto" w:sz="4" w:space="0"/>
              <w:bottom w:val="single" w:color="auto" w:sz="4" w:space="0"/>
            </w:tcBorders>
          </w:tcPr>
          <w:p>
            <w:pPr>
              <w:rPr>
                <w:rFonts w:hint="eastAsia"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《广播电视设施保护条例》第三条 县级以上广播电视行政管理部门负责所辖的广播电视设施的保护工作，并采取措施，确保广播电视设施的安全。《广播电视无线传输覆盖网管理办法》第四条 无线传输覆盖网由县级以上广播电视行政部门按照国家有关规定组建，并确保本行政区域内广播电视传输覆盖的安全和质量。</w:t>
            </w:r>
          </w:p>
          <w:p>
            <w:pPr>
              <w:rPr>
                <w:rFonts w:cs="宋体" w:asciiTheme="minorEastAsia" w:hAnsiTheme="minorEastAsia" w:eastAsiaTheme="minorEastAsia"/>
                <w:kern w:val="0"/>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58" w:hRule="atLeast"/>
        </w:trPr>
        <w:tc>
          <w:tcPr>
            <w:tcW w:w="667" w:type="dxa"/>
            <w:tcBorders>
              <w:top w:val="single" w:color="auto" w:sz="4" w:space="0"/>
              <w:bottom w:val="single" w:color="auto" w:sz="4" w:space="0"/>
            </w:tcBorders>
          </w:tcPr>
          <w:p>
            <w:pPr>
              <w:rPr>
                <w:rFonts w:hint="default" w:cs="宋体" w:asciiTheme="minorEastAsia" w:hAnsiTheme="minorEastAsia" w:eastAsiaTheme="minorEastAsia"/>
                <w:kern w:val="0"/>
                <w:sz w:val="21"/>
                <w:szCs w:val="21"/>
                <w:lang w:val="en-US" w:eastAsia="zh-CN"/>
              </w:rPr>
            </w:pPr>
            <w:r>
              <w:rPr>
                <w:rFonts w:hint="eastAsia" w:cs="宋体" w:asciiTheme="minorEastAsia" w:hAnsiTheme="minorEastAsia"/>
                <w:kern w:val="0"/>
                <w:sz w:val="21"/>
                <w:szCs w:val="21"/>
                <w:lang w:val="en-US" w:eastAsia="zh-CN"/>
              </w:rPr>
              <w:t>14</w:t>
            </w:r>
          </w:p>
        </w:tc>
        <w:tc>
          <w:tcPr>
            <w:tcW w:w="1138" w:type="dxa"/>
            <w:tcBorders>
              <w:top w:val="single" w:color="auto" w:sz="4" w:space="0"/>
              <w:bottom w:val="single" w:color="auto" w:sz="4" w:space="0"/>
              <w:right w:val="single" w:color="auto" w:sz="4" w:space="0"/>
            </w:tcBorders>
          </w:tcPr>
          <w:p>
            <w:pPr>
              <w:rPr>
                <w:rFonts w:cs="宋体" w:asciiTheme="minorEastAsia" w:hAnsiTheme="minorEastAsia" w:eastAsiaTheme="minorEastAsia"/>
                <w:kern w:val="0"/>
                <w:sz w:val="21"/>
                <w:szCs w:val="21"/>
              </w:rPr>
            </w:pPr>
            <w:r>
              <w:rPr>
                <w:rFonts w:hint="eastAsia" w:cs="Arial" w:asciiTheme="minorEastAsia" w:hAnsiTheme="minorEastAsia" w:eastAsiaTheme="minorEastAsia"/>
                <w:kern w:val="0"/>
                <w:sz w:val="21"/>
                <w:szCs w:val="21"/>
              </w:rPr>
              <w:t>对专网及定向传播视听节目服务单位业务运营的监管</w:t>
            </w:r>
          </w:p>
        </w:tc>
        <w:tc>
          <w:tcPr>
            <w:tcW w:w="995" w:type="dxa"/>
            <w:tcBorders>
              <w:top w:val="single" w:color="auto" w:sz="4" w:space="0"/>
              <w:left w:val="single" w:color="auto" w:sz="4" w:space="0"/>
              <w:bottom w:val="single" w:color="auto" w:sz="4" w:space="0"/>
            </w:tcBorders>
          </w:tcPr>
          <w:p>
            <w:pPr>
              <w:rPr>
                <w:rFonts w:cs="宋体" w:asciiTheme="minorEastAsia" w:hAnsiTheme="minorEastAsia" w:eastAsiaTheme="minorEastAsia"/>
                <w:kern w:val="0"/>
                <w:sz w:val="21"/>
                <w:szCs w:val="21"/>
              </w:rPr>
            </w:pPr>
            <w:r>
              <w:rPr>
                <w:rFonts w:hint="eastAsia" w:cs="Arial" w:asciiTheme="minorEastAsia" w:hAnsiTheme="minorEastAsia" w:eastAsiaTheme="minorEastAsia"/>
                <w:kern w:val="0"/>
                <w:sz w:val="21"/>
                <w:szCs w:val="21"/>
              </w:rPr>
              <w:t>对专网及定向传播视听节目服务单位违反规定要求开展业务的行政检查</w:t>
            </w:r>
          </w:p>
        </w:tc>
        <w:tc>
          <w:tcPr>
            <w:tcW w:w="1701" w:type="dxa"/>
            <w:tcBorders>
              <w:top w:val="single" w:color="auto" w:sz="4" w:space="0"/>
              <w:bottom w:val="single" w:color="auto" w:sz="4" w:space="0"/>
            </w:tcBorders>
          </w:tcPr>
          <w:p>
            <w:pPr>
              <w:rPr>
                <w:rFonts w:cs="宋体" w:asciiTheme="minorEastAsia" w:hAnsiTheme="minorEastAsia" w:eastAsiaTheme="minorEastAsia"/>
                <w:kern w:val="0"/>
                <w:sz w:val="21"/>
                <w:szCs w:val="21"/>
              </w:rPr>
            </w:pPr>
            <w:r>
              <w:rPr>
                <w:rFonts w:hint="eastAsia" w:cs="Arial" w:asciiTheme="minorEastAsia" w:hAnsiTheme="minorEastAsia" w:eastAsiaTheme="minorEastAsia"/>
                <w:kern w:val="0"/>
                <w:sz w:val="21"/>
                <w:szCs w:val="21"/>
              </w:rPr>
              <w:t>专网及定向传播视听节目服务单位</w:t>
            </w:r>
          </w:p>
        </w:tc>
        <w:tc>
          <w:tcPr>
            <w:tcW w:w="1561" w:type="dxa"/>
            <w:tcBorders>
              <w:top w:val="single" w:color="auto" w:sz="4" w:space="0"/>
              <w:bottom w:val="single" w:color="auto" w:sz="4" w:space="0"/>
            </w:tcBorders>
          </w:tcPr>
          <w:p>
            <w:pPr>
              <w:rPr>
                <w:rFonts w:hint="eastAsia" w:cs="Arial" w:asciiTheme="minorEastAsia" w:hAnsiTheme="minorEastAsia"/>
                <w:kern w:val="0"/>
                <w:sz w:val="21"/>
                <w:szCs w:val="21"/>
                <w:lang w:val="en-US" w:eastAsia="zh-CN"/>
              </w:rPr>
            </w:pPr>
            <w:r>
              <w:rPr>
                <w:rFonts w:hint="eastAsia" w:cs="Arial" w:asciiTheme="minorEastAsia" w:hAnsiTheme="minorEastAsia"/>
                <w:kern w:val="0"/>
                <w:sz w:val="21"/>
                <w:szCs w:val="21"/>
                <w:lang w:val="en-US" w:eastAsia="zh-CN"/>
              </w:rPr>
              <w:t>日常检查</w:t>
            </w:r>
          </w:p>
          <w:p>
            <w:pPr>
              <w:rPr>
                <w:rFonts w:hint="eastAsia" w:cs="Arial" w:asciiTheme="minorEastAsia" w:hAnsiTheme="minorEastAsia"/>
                <w:kern w:val="0"/>
                <w:sz w:val="21"/>
                <w:szCs w:val="21"/>
                <w:lang w:val="en-US" w:eastAsia="zh-CN"/>
              </w:rPr>
            </w:pPr>
            <w:r>
              <w:rPr>
                <w:rFonts w:hint="eastAsia" w:cs="Arial" w:asciiTheme="minorEastAsia" w:hAnsiTheme="minorEastAsia"/>
                <w:kern w:val="0"/>
                <w:sz w:val="21"/>
                <w:szCs w:val="21"/>
                <w:lang w:val="en-US" w:eastAsia="zh-CN"/>
              </w:rPr>
              <w:t>专项检查</w:t>
            </w:r>
          </w:p>
          <w:p>
            <w:pPr>
              <w:rPr>
                <w:rFonts w:cs="宋体" w:asciiTheme="minorEastAsia" w:hAnsiTheme="minorEastAsia" w:eastAsiaTheme="minorEastAsia"/>
                <w:kern w:val="0"/>
                <w:sz w:val="21"/>
                <w:szCs w:val="21"/>
              </w:rPr>
            </w:pPr>
          </w:p>
        </w:tc>
        <w:tc>
          <w:tcPr>
            <w:tcW w:w="1792" w:type="dxa"/>
            <w:tcBorders>
              <w:top w:val="single" w:color="auto" w:sz="4" w:space="0"/>
              <w:bottom w:val="single" w:color="auto" w:sz="4" w:space="0"/>
            </w:tcBorders>
          </w:tcPr>
          <w:p>
            <w:pPr>
              <w:rPr>
                <w:rFonts w:cs="宋体"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1. “双随机、一公开”监管；2. 重点监管；3. 信用监管；4. 非现场监管。</w:t>
            </w:r>
          </w:p>
        </w:tc>
        <w:tc>
          <w:tcPr>
            <w:tcW w:w="1470" w:type="dxa"/>
            <w:gridSpan w:val="2"/>
            <w:tcBorders>
              <w:top w:val="single" w:color="auto" w:sz="4" w:space="0"/>
              <w:bottom w:val="single" w:color="auto" w:sz="4" w:space="0"/>
            </w:tcBorders>
          </w:tcPr>
          <w:p>
            <w:pPr>
              <w:rPr>
                <w:rFonts w:cs="宋体" w:asciiTheme="minorEastAsia" w:hAnsiTheme="minorEastAsia" w:eastAsiaTheme="minorEastAsia"/>
                <w:kern w:val="0"/>
                <w:sz w:val="21"/>
                <w:szCs w:val="21"/>
              </w:rPr>
            </w:pPr>
            <w:r>
              <w:rPr>
                <w:rFonts w:hint="eastAsia" w:asciiTheme="minorEastAsia" w:hAnsiTheme="minorEastAsia" w:eastAsiaTheme="minorEastAsia" w:cstheme="minorEastAsia"/>
                <w:kern w:val="0"/>
                <w:sz w:val="21"/>
                <w:szCs w:val="21"/>
              </w:rPr>
              <w:t>内乡县</w:t>
            </w:r>
            <w:r>
              <w:rPr>
                <w:rFonts w:hint="eastAsia" w:asciiTheme="minorEastAsia" w:hAnsiTheme="minorEastAsia" w:cstheme="minorEastAsia"/>
                <w:kern w:val="0"/>
                <w:sz w:val="21"/>
                <w:szCs w:val="21"/>
                <w:lang w:eastAsia="zh-CN"/>
              </w:rPr>
              <w:t>文化广电和旅游局</w:t>
            </w:r>
          </w:p>
        </w:tc>
        <w:tc>
          <w:tcPr>
            <w:tcW w:w="5369" w:type="dxa"/>
            <w:gridSpan w:val="2"/>
            <w:tcBorders>
              <w:top w:val="single" w:color="auto" w:sz="4" w:space="0"/>
              <w:bottom w:val="single" w:color="auto" w:sz="4" w:space="0"/>
            </w:tcBorders>
          </w:tcPr>
          <w:p>
            <w:pPr>
              <w:rPr>
                <w:rFonts w:cs="宋体"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专网及定向传播视听节目服务管理规定》第三条：“国务院广播电影电视主管部门负责全国专网及定向传播视听节目服务的监督管理工作。县级以上地方人民政府广播电影电视主管部门负责本行政区域内专网及定向传播视听节目服务的监督管理工作。”；第十二条“专网及定向传播视听节目服务单位应当按照《信息网络传播视听节目许可证》载明的事项从事专网及定向传播视听节目服务”、第十三条“专网及定向传播视听节目服务单位应当为广播电影电视主管部门设立的节目监控系统提供必要的信号接入条件”、第十四条“专网及定向传播视听节目服务单位相互之间应当按照广播电影电视主管部门的管理规定和相关标准实行规范对接，并为对接提供必要的技术支持和服务保障”</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After w:val="1"/>
          <w:wAfter w:w="519" w:type="dxa"/>
          <w:trHeight w:val="408" w:hRule="atLeast"/>
        </w:trPr>
        <w:tc>
          <w:tcPr>
            <w:tcW w:w="667" w:type="dxa"/>
            <w:tcBorders>
              <w:top w:val="single" w:color="auto" w:sz="4" w:space="0"/>
              <w:bottom w:val="single" w:color="auto" w:sz="4" w:space="0"/>
            </w:tcBorders>
          </w:tcPr>
          <w:p>
            <w:pPr>
              <w:rPr>
                <w:rFonts w:hint="default" w:cs="宋体" w:asciiTheme="minorEastAsia" w:hAnsiTheme="minorEastAsia" w:eastAsiaTheme="minorEastAsia"/>
                <w:kern w:val="0"/>
                <w:sz w:val="21"/>
                <w:szCs w:val="21"/>
                <w:lang w:val="en-US" w:eastAsia="zh-CN"/>
              </w:rPr>
            </w:pPr>
            <w:r>
              <w:rPr>
                <w:rFonts w:hint="eastAsia" w:cs="宋体" w:asciiTheme="minorEastAsia" w:hAnsiTheme="minorEastAsia"/>
                <w:kern w:val="0"/>
                <w:sz w:val="21"/>
                <w:szCs w:val="21"/>
                <w:lang w:val="en-US" w:eastAsia="zh-CN"/>
              </w:rPr>
              <w:t>15</w:t>
            </w:r>
          </w:p>
        </w:tc>
        <w:tc>
          <w:tcPr>
            <w:tcW w:w="1138" w:type="dxa"/>
            <w:tcBorders>
              <w:top w:val="single" w:color="auto" w:sz="4" w:space="0"/>
              <w:bottom w:val="single" w:color="auto" w:sz="4" w:space="0"/>
              <w:right w:val="single" w:color="auto" w:sz="4" w:space="0"/>
            </w:tcBorders>
            <w:vAlign w:val="center"/>
          </w:tcPr>
          <w:p>
            <w:pPr>
              <w:widowControl/>
              <w:jc w:val="center"/>
              <w:textAlignment w:val="center"/>
              <w:rPr>
                <w:rFonts w:cs="Times New Roman" w:asciiTheme="minorEastAsia" w:hAnsiTheme="minorEastAsia" w:eastAsiaTheme="minorEastAsia"/>
                <w:kern w:val="0"/>
                <w:sz w:val="21"/>
                <w:szCs w:val="21"/>
              </w:rPr>
            </w:pPr>
            <w:r>
              <w:rPr>
                <w:rFonts w:hint="eastAsia" w:asciiTheme="minorEastAsia" w:hAnsiTheme="minorEastAsia" w:eastAsiaTheme="minorEastAsia" w:cstheme="minorEastAsia"/>
                <w:color w:val="000000"/>
                <w:kern w:val="0"/>
                <w:sz w:val="21"/>
                <w:szCs w:val="21"/>
              </w:rPr>
              <w:t>对广播电视和网络视听节目安全播出、安全传输的监管</w:t>
            </w:r>
          </w:p>
        </w:tc>
        <w:tc>
          <w:tcPr>
            <w:tcW w:w="995" w:type="dxa"/>
            <w:tcBorders>
              <w:top w:val="single" w:color="auto" w:sz="4" w:space="0"/>
              <w:left w:val="single" w:color="auto" w:sz="4" w:space="0"/>
              <w:bottom w:val="single" w:color="auto" w:sz="4" w:space="0"/>
            </w:tcBorders>
            <w:vAlign w:val="center"/>
          </w:tcPr>
          <w:p>
            <w:pPr>
              <w:widowControl/>
              <w:jc w:val="center"/>
              <w:textAlignment w:val="center"/>
              <w:rPr>
                <w:rFonts w:cs="Times New Roman" w:asciiTheme="minorEastAsia" w:hAnsiTheme="minorEastAsia" w:eastAsiaTheme="minorEastAsia"/>
                <w:kern w:val="0"/>
                <w:sz w:val="21"/>
                <w:szCs w:val="21"/>
              </w:rPr>
            </w:pPr>
            <w:r>
              <w:rPr>
                <w:rFonts w:hint="eastAsia" w:asciiTheme="minorEastAsia" w:hAnsiTheme="minorEastAsia" w:eastAsiaTheme="minorEastAsia" w:cstheme="minorEastAsia"/>
                <w:color w:val="000000"/>
                <w:kern w:val="0"/>
                <w:sz w:val="21"/>
                <w:szCs w:val="21"/>
              </w:rPr>
              <w:t>对安全播出责任单位的行政检查</w:t>
            </w:r>
          </w:p>
        </w:tc>
        <w:tc>
          <w:tcPr>
            <w:tcW w:w="1701" w:type="dxa"/>
            <w:tcBorders>
              <w:top w:val="single" w:color="auto" w:sz="4" w:space="0"/>
              <w:bottom w:val="single" w:color="auto" w:sz="4" w:space="0"/>
            </w:tcBorders>
            <w:vAlign w:val="center"/>
          </w:tcPr>
          <w:p>
            <w:pPr>
              <w:widowControl/>
              <w:jc w:val="center"/>
              <w:textAlignment w:val="center"/>
              <w:rPr>
                <w:rFonts w:cs="Times New Roman" w:asciiTheme="minorEastAsia" w:hAnsiTheme="minorEastAsia" w:eastAsiaTheme="minorEastAsia"/>
                <w:kern w:val="0"/>
                <w:sz w:val="21"/>
                <w:szCs w:val="21"/>
              </w:rPr>
            </w:pPr>
            <w:r>
              <w:rPr>
                <w:rFonts w:hint="eastAsia" w:asciiTheme="minorEastAsia" w:hAnsiTheme="minorEastAsia" w:eastAsiaTheme="minorEastAsia" w:cstheme="minorEastAsia"/>
                <w:color w:val="000000"/>
                <w:kern w:val="0"/>
                <w:sz w:val="21"/>
                <w:szCs w:val="21"/>
              </w:rPr>
              <w:t>安全播出责任单位</w:t>
            </w:r>
          </w:p>
        </w:tc>
        <w:tc>
          <w:tcPr>
            <w:tcW w:w="1561" w:type="dxa"/>
            <w:tcBorders>
              <w:top w:val="single" w:color="auto" w:sz="4" w:space="0"/>
              <w:bottom w:val="single" w:color="auto" w:sz="4" w:space="0"/>
            </w:tcBorders>
          </w:tcPr>
          <w:p>
            <w:pP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日常检查、</w:t>
            </w:r>
          </w:p>
          <w:p>
            <w:pPr>
              <w:rPr>
                <w:rFonts w:cs="宋体" w:asciiTheme="minorEastAsia" w:hAnsiTheme="minorEastAsia" w:eastAsiaTheme="minorEastAsia"/>
                <w:kern w:val="0"/>
                <w:sz w:val="21"/>
                <w:szCs w:val="21"/>
              </w:rPr>
            </w:pPr>
            <w:r>
              <w:rPr>
                <w:rFonts w:hint="eastAsia" w:asciiTheme="minorEastAsia" w:hAnsiTheme="minorEastAsia" w:eastAsiaTheme="minorEastAsia" w:cstheme="minorEastAsia"/>
                <w:kern w:val="0"/>
                <w:sz w:val="21"/>
                <w:szCs w:val="21"/>
              </w:rPr>
              <w:t>专项检查</w:t>
            </w:r>
          </w:p>
        </w:tc>
        <w:tc>
          <w:tcPr>
            <w:tcW w:w="1843" w:type="dxa"/>
            <w:gridSpan w:val="2"/>
            <w:tcBorders>
              <w:top w:val="single" w:color="auto" w:sz="4" w:space="0"/>
              <w:bottom w:val="single" w:color="auto" w:sz="4" w:space="0"/>
            </w:tcBorders>
          </w:tcPr>
          <w:p>
            <w:pPr>
              <w:rPr>
                <w:rFonts w:cs="宋体" w:asciiTheme="minorEastAsia" w:hAnsiTheme="minorEastAsia" w:eastAsiaTheme="minorEastAsia"/>
                <w:kern w:val="0"/>
                <w:sz w:val="21"/>
                <w:szCs w:val="21"/>
              </w:rPr>
            </w:pPr>
            <w:r>
              <w:rPr>
                <w:rFonts w:hint="eastAsia" w:asciiTheme="minorEastAsia" w:hAnsiTheme="minorEastAsia" w:eastAsiaTheme="minorEastAsia" w:cstheme="minorEastAsia"/>
                <w:kern w:val="0"/>
                <w:sz w:val="21"/>
                <w:szCs w:val="21"/>
              </w:rPr>
              <w:t>重点监管</w:t>
            </w:r>
          </w:p>
        </w:tc>
        <w:tc>
          <w:tcPr>
            <w:tcW w:w="1419" w:type="dxa"/>
            <w:tcBorders>
              <w:top w:val="single" w:color="auto" w:sz="4" w:space="0"/>
              <w:bottom w:val="single" w:color="auto" w:sz="4" w:space="0"/>
            </w:tcBorders>
          </w:tcPr>
          <w:p>
            <w:pPr>
              <w:rPr>
                <w:rFonts w:cs="宋体" w:asciiTheme="minorEastAsia" w:hAnsiTheme="minorEastAsia" w:eastAsiaTheme="minorEastAsia"/>
                <w:kern w:val="0"/>
                <w:sz w:val="21"/>
                <w:szCs w:val="21"/>
              </w:rPr>
            </w:pPr>
            <w:r>
              <w:rPr>
                <w:rFonts w:hint="eastAsia" w:asciiTheme="minorEastAsia" w:hAnsiTheme="minorEastAsia" w:eastAsiaTheme="minorEastAsia" w:cstheme="minorEastAsia"/>
                <w:kern w:val="0"/>
                <w:sz w:val="21"/>
                <w:szCs w:val="21"/>
              </w:rPr>
              <w:t>内乡县</w:t>
            </w:r>
            <w:r>
              <w:rPr>
                <w:rFonts w:hint="eastAsia" w:asciiTheme="minorEastAsia" w:hAnsiTheme="minorEastAsia" w:cstheme="minorEastAsia"/>
                <w:kern w:val="0"/>
                <w:sz w:val="21"/>
                <w:szCs w:val="21"/>
                <w:lang w:eastAsia="zh-CN"/>
              </w:rPr>
              <w:t>文化广电和旅游局</w:t>
            </w:r>
          </w:p>
        </w:tc>
        <w:tc>
          <w:tcPr>
            <w:tcW w:w="4850" w:type="dxa"/>
            <w:tcBorders>
              <w:top w:val="single" w:color="auto" w:sz="4" w:space="0"/>
              <w:bottom w:val="single" w:color="auto" w:sz="4" w:space="0"/>
            </w:tcBorders>
          </w:tcPr>
          <w:p>
            <w:pP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1.《广播电视管理条例》第十六条“任何单位和个人不得冲击广播电台、电视台，不得损坏广播电台、电视台的设施，不得危害其安全播出。”2.《广播电视安全播出管理条例及专业实施细则》第三条 国务院广播电视行政部门负责全国广播电视安全播出监督管理工作。县级以上地方人民政府广播电视行政部门负责本行政区域内的广播电视安全播出监督管理工作。第三十五条 广播电视行政部门履行下列广播电视安全播出监督管理职责：（二）对本行政区域内安全播出情况进行监督、检查，对发现的安全播出事故隐患，督促安全播出责任单位予以消除；</w:t>
            </w:r>
          </w:p>
          <w:p>
            <w:pP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（三）组织对特大、重大安全播出事故的调查并依法处理；</w:t>
            </w:r>
          </w:p>
          <w:p>
            <w:pP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2.《专网及定向传播视听节目服务管理规定》第三条 国务院广播电视行政部门负责全国专网及定向传播视听节目服务的监督管理工作。县级以上地方人民政府广播电视行政部门负责本行政区域内的专网及定向传播视听节目服务的监督管理工作。第六条 申请从事专网及定向传播视听节目服务的单位应当具备以下条件：（二）有健全的节目内容编审、安全传播管理制度和安全保护措施；第十三条：专网及定向传播视听节目服务单位应当建立健全与国家网络信息安全相适应的安全管理制度、保障体系和技术保障手段，履行安全保障义务。</w:t>
            </w:r>
          </w:p>
          <w:p>
            <w:pPr>
              <w:rPr>
                <w:rFonts w:cs="宋体" w:asciiTheme="minorEastAsia" w:hAnsiTheme="minorEastAsia" w:eastAsiaTheme="minorEastAsia"/>
                <w:kern w:val="0"/>
                <w:sz w:val="21"/>
                <w:szCs w:val="21"/>
              </w:rPr>
            </w:pPr>
            <w:r>
              <w:rPr>
                <w:rFonts w:hint="eastAsia" w:asciiTheme="minorEastAsia" w:hAnsiTheme="minorEastAsia" w:eastAsiaTheme="minorEastAsia" w:cstheme="minorEastAsia"/>
                <w:kern w:val="0"/>
                <w:sz w:val="21"/>
                <w:szCs w:val="21"/>
              </w:rPr>
              <w:t>3.《互联网视听节目服务管理规定》第八条 申请从事互联网视听节目服务的应当同时具备以下条件：（二）有健全的节目安全传播管理制度和安全保护技术措施；第二十二条 广播电影电视主管部门依法对互联网视听节目服务单位进行实地检查，有关单位和个人应当予以配合。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After w:val="1"/>
          <w:wAfter w:w="519" w:type="dxa"/>
          <w:trHeight w:val="1937" w:hRule="atLeast"/>
        </w:trPr>
        <w:tc>
          <w:tcPr>
            <w:tcW w:w="667" w:type="dxa"/>
            <w:tcBorders>
              <w:top w:val="single" w:color="auto" w:sz="4" w:space="0"/>
              <w:bottom w:val="single" w:color="auto" w:sz="4" w:space="0"/>
            </w:tcBorders>
          </w:tcPr>
          <w:p>
            <w:pPr>
              <w:rPr>
                <w:rFonts w:hint="default" w:cs="宋体" w:asciiTheme="minorEastAsia" w:hAnsiTheme="minorEastAsia" w:eastAsiaTheme="minorEastAsia"/>
                <w:kern w:val="0"/>
                <w:sz w:val="21"/>
                <w:szCs w:val="21"/>
                <w:lang w:val="en-US" w:eastAsia="zh-CN"/>
              </w:rPr>
            </w:pPr>
            <w:r>
              <w:rPr>
                <w:rFonts w:hint="eastAsia" w:cs="宋体" w:asciiTheme="minorEastAsia" w:hAnsiTheme="minorEastAsia"/>
                <w:kern w:val="0"/>
                <w:sz w:val="21"/>
                <w:szCs w:val="21"/>
                <w:lang w:val="en-US" w:eastAsia="zh-CN"/>
              </w:rPr>
              <w:t>16</w:t>
            </w:r>
          </w:p>
        </w:tc>
        <w:tc>
          <w:tcPr>
            <w:tcW w:w="1138" w:type="dxa"/>
            <w:tcBorders>
              <w:top w:val="single" w:color="auto" w:sz="4" w:space="0"/>
              <w:bottom w:val="single" w:color="auto" w:sz="4" w:space="0"/>
              <w:right w:val="single" w:color="auto" w:sz="4" w:space="0"/>
            </w:tcBorders>
            <w:vAlign w:val="center"/>
          </w:tcPr>
          <w:p>
            <w:pPr>
              <w:widowControl/>
              <w:jc w:val="center"/>
              <w:textAlignment w:val="center"/>
              <w:rPr>
                <w:rFonts w:cs="Times New Roman" w:asciiTheme="minorEastAsia" w:hAnsiTheme="minorEastAsia" w:eastAsiaTheme="minorEastAsia"/>
                <w:kern w:val="0"/>
                <w:sz w:val="21"/>
                <w:szCs w:val="21"/>
              </w:rPr>
            </w:pPr>
            <w:r>
              <w:rPr>
                <w:rFonts w:hint="eastAsia" w:asciiTheme="minorEastAsia" w:hAnsiTheme="minorEastAsia" w:eastAsiaTheme="minorEastAsia" w:cstheme="minorEastAsia"/>
                <w:color w:val="000000"/>
                <w:kern w:val="0"/>
                <w:sz w:val="21"/>
                <w:szCs w:val="21"/>
              </w:rPr>
              <w:t>对广播电视播出机构的广告播出情况的监管</w:t>
            </w:r>
          </w:p>
        </w:tc>
        <w:tc>
          <w:tcPr>
            <w:tcW w:w="995" w:type="dxa"/>
            <w:tcBorders>
              <w:top w:val="single" w:color="auto" w:sz="4" w:space="0"/>
              <w:left w:val="single" w:color="auto" w:sz="4" w:space="0"/>
              <w:bottom w:val="single" w:color="auto" w:sz="4" w:space="0"/>
            </w:tcBorders>
            <w:vAlign w:val="center"/>
          </w:tcPr>
          <w:p>
            <w:pPr>
              <w:widowControl/>
              <w:jc w:val="center"/>
              <w:textAlignment w:val="center"/>
              <w:rPr>
                <w:rFonts w:cs="Times New Roman" w:asciiTheme="minorEastAsia" w:hAnsiTheme="minorEastAsia" w:eastAsiaTheme="minorEastAsia"/>
                <w:kern w:val="0"/>
                <w:sz w:val="21"/>
                <w:szCs w:val="21"/>
              </w:rPr>
            </w:pPr>
            <w:r>
              <w:rPr>
                <w:rFonts w:hint="eastAsia" w:asciiTheme="minorEastAsia" w:hAnsiTheme="minorEastAsia" w:eastAsiaTheme="minorEastAsia" w:cstheme="minorEastAsia"/>
                <w:color w:val="000000"/>
                <w:kern w:val="0"/>
                <w:sz w:val="21"/>
                <w:szCs w:val="21"/>
              </w:rPr>
              <w:t>对广播电视播出机构的广告播出情况的行政检查</w:t>
            </w:r>
          </w:p>
        </w:tc>
        <w:tc>
          <w:tcPr>
            <w:tcW w:w="1701" w:type="dxa"/>
            <w:tcBorders>
              <w:top w:val="single" w:color="auto" w:sz="4" w:space="0"/>
              <w:bottom w:val="single" w:color="auto" w:sz="4" w:space="0"/>
            </w:tcBorders>
            <w:vAlign w:val="center"/>
          </w:tcPr>
          <w:p>
            <w:pPr>
              <w:widowControl/>
              <w:jc w:val="center"/>
              <w:textAlignment w:val="center"/>
              <w:rPr>
                <w:rFonts w:cs="Times New Roman" w:asciiTheme="minorEastAsia" w:hAnsiTheme="minorEastAsia" w:eastAsiaTheme="minorEastAsia"/>
                <w:kern w:val="0"/>
                <w:sz w:val="21"/>
                <w:szCs w:val="21"/>
              </w:rPr>
            </w:pPr>
            <w:r>
              <w:rPr>
                <w:rFonts w:hint="eastAsia" w:asciiTheme="minorEastAsia" w:hAnsiTheme="minorEastAsia" w:eastAsiaTheme="minorEastAsia" w:cstheme="minorEastAsia"/>
                <w:color w:val="000000"/>
                <w:kern w:val="0"/>
                <w:sz w:val="21"/>
                <w:szCs w:val="21"/>
              </w:rPr>
              <w:t>广播电视播出机构</w:t>
            </w:r>
          </w:p>
        </w:tc>
        <w:tc>
          <w:tcPr>
            <w:tcW w:w="1561" w:type="dxa"/>
            <w:tcBorders>
              <w:top w:val="single" w:color="auto" w:sz="4" w:space="0"/>
              <w:bottom w:val="single" w:color="auto" w:sz="4" w:space="0"/>
            </w:tcBorders>
          </w:tcPr>
          <w:p>
            <w:pP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日常检查、</w:t>
            </w:r>
          </w:p>
          <w:p>
            <w:pPr>
              <w:rPr>
                <w:rFonts w:cs="宋体" w:asciiTheme="minorEastAsia" w:hAnsiTheme="minorEastAsia" w:eastAsiaTheme="minorEastAsia"/>
                <w:kern w:val="0"/>
                <w:sz w:val="21"/>
                <w:szCs w:val="21"/>
              </w:rPr>
            </w:pPr>
            <w:r>
              <w:rPr>
                <w:rFonts w:hint="eastAsia" w:asciiTheme="minorEastAsia" w:hAnsiTheme="minorEastAsia" w:eastAsiaTheme="minorEastAsia" w:cstheme="minorEastAsia"/>
                <w:kern w:val="0"/>
                <w:sz w:val="21"/>
                <w:szCs w:val="21"/>
              </w:rPr>
              <w:t>专项检查</w:t>
            </w:r>
          </w:p>
        </w:tc>
        <w:tc>
          <w:tcPr>
            <w:tcW w:w="1843" w:type="dxa"/>
            <w:gridSpan w:val="2"/>
            <w:tcBorders>
              <w:top w:val="single" w:color="auto" w:sz="4" w:space="0"/>
              <w:bottom w:val="single" w:color="auto" w:sz="4" w:space="0"/>
            </w:tcBorders>
          </w:tcPr>
          <w:p>
            <w:pPr>
              <w:rPr>
                <w:rFonts w:cs="宋体" w:asciiTheme="minorEastAsia" w:hAnsiTheme="minorEastAsia" w:eastAsiaTheme="minorEastAsia"/>
                <w:kern w:val="0"/>
                <w:sz w:val="21"/>
                <w:szCs w:val="21"/>
              </w:rPr>
            </w:pPr>
            <w:r>
              <w:rPr>
                <w:rFonts w:hint="eastAsia" w:asciiTheme="minorEastAsia" w:hAnsiTheme="minorEastAsia" w:eastAsiaTheme="minorEastAsia" w:cstheme="minorEastAsia"/>
                <w:kern w:val="0"/>
                <w:sz w:val="21"/>
                <w:szCs w:val="21"/>
              </w:rPr>
              <w:t>“双随即一公开”监管，重点监管，非现场监管</w:t>
            </w:r>
          </w:p>
        </w:tc>
        <w:tc>
          <w:tcPr>
            <w:tcW w:w="1419" w:type="dxa"/>
            <w:tcBorders>
              <w:top w:val="single" w:color="auto" w:sz="4" w:space="0"/>
              <w:bottom w:val="single" w:color="auto" w:sz="4" w:space="0"/>
            </w:tcBorders>
          </w:tcPr>
          <w:p>
            <w:pPr>
              <w:rPr>
                <w:rFonts w:cs="Times New Roman" w:asciiTheme="minorEastAsia" w:hAnsiTheme="minorEastAsia" w:eastAsiaTheme="minorEastAsia"/>
                <w:kern w:val="0"/>
                <w:sz w:val="21"/>
                <w:szCs w:val="21"/>
              </w:rPr>
            </w:pPr>
            <w:r>
              <w:rPr>
                <w:rFonts w:hint="eastAsia" w:asciiTheme="minorEastAsia" w:hAnsiTheme="minorEastAsia" w:eastAsiaTheme="minorEastAsia" w:cstheme="minorEastAsia"/>
                <w:kern w:val="0"/>
                <w:sz w:val="21"/>
                <w:szCs w:val="21"/>
              </w:rPr>
              <w:t>内乡县</w:t>
            </w:r>
            <w:r>
              <w:rPr>
                <w:rFonts w:hint="eastAsia" w:asciiTheme="minorEastAsia" w:hAnsiTheme="minorEastAsia" w:cstheme="minorEastAsia"/>
                <w:kern w:val="0"/>
                <w:sz w:val="21"/>
                <w:szCs w:val="21"/>
                <w:lang w:eastAsia="zh-CN"/>
              </w:rPr>
              <w:t>文化广电和旅游局</w:t>
            </w:r>
          </w:p>
        </w:tc>
        <w:tc>
          <w:tcPr>
            <w:tcW w:w="4850" w:type="dxa"/>
            <w:tcBorders>
              <w:top w:val="single" w:color="auto" w:sz="4" w:space="0"/>
              <w:bottom w:val="single" w:color="auto" w:sz="4" w:space="0"/>
            </w:tcBorders>
          </w:tcPr>
          <w:p>
            <w:pPr>
              <w:rPr>
                <w:rFonts w:cs="宋体" w:asciiTheme="minorEastAsia" w:hAnsiTheme="minorEastAsia" w:eastAsiaTheme="minorEastAsia"/>
                <w:kern w:val="0"/>
                <w:sz w:val="21"/>
                <w:szCs w:val="21"/>
              </w:rPr>
            </w:pPr>
            <w:r>
              <w:rPr>
                <w:rFonts w:hint="eastAsia" w:asciiTheme="minorEastAsia" w:hAnsiTheme="minorEastAsia" w:eastAsiaTheme="minorEastAsia" w:cstheme="minorEastAsia"/>
                <w:kern w:val="0"/>
                <w:sz w:val="21"/>
                <w:szCs w:val="21"/>
              </w:rPr>
              <w:t>1.《中国人民共和国广告法》第六条“国务院工商行政管理部门主管全国的广告监督管理工作，国务院有关部门在各自的职责范围内负责广告管理相关工作。县级以上地方工商行政管理部门主管本行政区域内的广告监督管理工作，县级以上地方人民政府有关部门在各自的职责范围内负责广告管理相关工作。”第十四条“广播电台、电视台发布广告，应当遵守国务院有关部门关于时长、方式的规定，并应对广告时长作出明显提示。”第十九条“广播电台、电视台、报刊音像出版单位、互联网信息服务提供者不得以介绍健康、养生知识等形式变相发布医疗、药品、医疗器械、保健食品广告。”第六十八条“广播电台、电视台、报刊音像出版单位发布违法广告，……。新闻出版广电部门以及其他有关部门应当依法对负有责任的主管人员和直接责任人员给予处分；情节严重的，并可以暂停媒体的广告发布业务。”2.《广播电视管理条例》第五条“国务院广播电视行政部门负责全国的广播电视管理工作。县级以上地方人民政府负责广播电视行政管理部门的部门或者机构负责本行政区域内的广播电视管理工作。”3.《广播电视广告播出管理办法》第五条“广播影视行政部门对广播电视广告播出活动实行属地管理、分级负责。国务院广播影视行政部门负责全国广播电视广告播出活动的监督管理工作。县级以上地方人民政府广播影视部门负责本行政区域内广播电视广告播出活动的监督管理工作。”第七条“广播电视广告是广播电视节目的重要组成部分，应当坚持正确导向，树立良好文化品位，与广播电视节目相和谐。”以及总局相关规范性文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After w:val="1"/>
          <w:wAfter w:w="519" w:type="dxa"/>
          <w:trHeight w:val="2085" w:hRule="atLeast"/>
        </w:trPr>
        <w:tc>
          <w:tcPr>
            <w:tcW w:w="667" w:type="dxa"/>
            <w:tcBorders>
              <w:top w:val="single" w:color="auto" w:sz="4" w:space="0"/>
              <w:bottom w:val="single" w:color="auto" w:sz="4" w:space="0"/>
            </w:tcBorders>
          </w:tcPr>
          <w:p>
            <w:pPr>
              <w:rPr>
                <w:rFonts w:hint="default" w:cs="宋体" w:asciiTheme="minorEastAsia" w:hAnsiTheme="minorEastAsia" w:eastAsiaTheme="minorEastAsia"/>
                <w:kern w:val="0"/>
                <w:sz w:val="21"/>
                <w:szCs w:val="21"/>
                <w:lang w:val="en-US" w:eastAsia="zh-CN"/>
              </w:rPr>
            </w:pPr>
            <w:r>
              <w:rPr>
                <w:rFonts w:hint="eastAsia" w:asciiTheme="minorEastAsia" w:hAnsiTheme="minorEastAsia" w:cstheme="minorEastAsia"/>
                <w:kern w:val="0"/>
                <w:sz w:val="21"/>
                <w:szCs w:val="21"/>
                <w:lang w:val="en-US" w:eastAsia="zh-CN"/>
              </w:rPr>
              <w:t>17</w:t>
            </w:r>
          </w:p>
        </w:tc>
        <w:tc>
          <w:tcPr>
            <w:tcW w:w="1138" w:type="dxa"/>
            <w:tcBorders>
              <w:top w:val="single" w:color="auto" w:sz="4" w:space="0"/>
              <w:bottom w:val="single" w:color="auto" w:sz="4" w:space="0"/>
              <w:right w:val="single" w:color="auto" w:sz="4" w:space="0"/>
            </w:tcBorders>
            <w:vAlign w:val="center"/>
          </w:tcPr>
          <w:p>
            <w:pPr>
              <w:widowControl/>
              <w:jc w:val="center"/>
              <w:textAlignment w:val="center"/>
              <w:rPr>
                <w:rFonts w:cs="Times New Roman" w:asciiTheme="minorEastAsia" w:hAnsiTheme="minorEastAsia" w:eastAsiaTheme="minorEastAsia"/>
                <w:kern w:val="0"/>
                <w:sz w:val="21"/>
                <w:szCs w:val="21"/>
              </w:rPr>
            </w:pPr>
            <w:r>
              <w:rPr>
                <w:rFonts w:hint="eastAsia" w:asciiTheme="minorEastAsia" w:hAnsiTheme="minorEastAsia" w:eastAsiaTheme="minorEastAsia" w:cstheme="minorEastAsia"/>
                <w:color w:val="000000"/>
                <w:kern w:val="0"/>
                <w:sz w:val="21"/>
                <w:szCs w:val="21"/>
              </w:rPr>
              <w:t>对省级行政区域内经营广播电视节目传送业务监管</w:t>
            </w:r>
          </w:p>
        </w:tc>
        <w:tc>
          <w:tcPr>
            <w:tcW w:w="995" w:type="dxa"/>
            <w:tcBorders>
              <w:top w:val="single" w:color="auto" w:sz="4" w:space="0"/>
              <w:left w:val="single" w:color="auto" w:sz="4" w:space="0"/>
              <w:bottom w:val="single" w:color="auto" w:sz="4" w:space="0"/>
            </w:tcBorders>
            <w:vAlign w:val="center"/>
          </w:tcPr>
          <w:p>
            <w:pPr>
              <w:widowControl/>
              <w:jc w:val="center"/>
              <w:textAlignment w:val="center"/>
              <w:rPr>
                <w:rFonts w:cs="Times New Roman" w:asciiTheme="minorEastAsia" w:hAnsiTheme="minorEastAsia" w:eastAsiaTheme="minorEastAsia"/>
                <w:kern w:val="0"/>
                <w:sz w:val="21"/>
                <w:szCs w:val="21"/>
              </w:rPr>
            </w:pPr>
            <w:r>
              <w:rPr>
                <w:rFonts w:hint="eastAsia" w:asciiTheme="minorEastAsia" w:hAnsiTheme="minorEastAsia" w:eastAsiaTheme="minorEastAsia" w:cstheme="minorEastAsia"/>
                <w:color w:val="000000"/>
                <w:kern w:val="0"/>
                <w:sz w:val="21"/>
                <w:szCs w:val="21"/>
              </w:rPr>
              <w:t>对省级行政区域内经营广播电视节目传送业务（有线）的行政检查</w:t>
            </w:r>
          </w:p>
        </w:tc>
        <w:tc>
          <w:tcPr>
            <w:tcW w:w="1701" w:type="dxa"/>
            <w:tcBorders>
              <w:top w:val="single" w:color="auto" w:sz="4" w:space="0"/>
              <w:bottom w:val="single" w:color="auto" w:sz="4" w:space="0"/>
            </w:tcBorders>
            <w:vAlign w:val="center"/>
          </w:tcPr>
          <w:p>
            <w:pPr>
              <w:widowControl/>
              <w:jc w:val="center"/>
              <w:textAlignment w:val="center"/>
              <w:rPr>
                <w:rFonts w:cs="Times New Roman" w:asciiTheme="minorEastAsia" w:hAnsiTheme="minorEastAsia" w:eastAsiaTheme="minorEastAsia"/>
                <w:kern w:val="0"/>
                <w:sz w:val="21"/>
                <w:szCs w:val="21"/>
              </w:rPr>
            </w:pPr>
            <w:r>
              <w:rPr>
                <w:rFonts w:hint="eastAsia" w:asciiTheme="minorEastAsia" w:hAnsiTheme="minorEastAsia" w:eastAsiaTheme="minorEastAsia" w:cstheme="minorEastAsia"/>
                <w:color w:val="000000"/>
                <w:kern w:val="0"/>
                <w:sz w:val="21"/>
                <w:szCs w:val="21"/>
              </w:rPr>
              <w:t>开展省级行政区域内经营广播电视节目传送业务（有线）的机构</w:t>
            </w:r>
          </w:p>
        </w:tc>
        <w:tc>
          <w:tcPr>
            <w:tcW w:w="1561" w:type="dxa"/>
            <w:tcBorders>
              <w:top w:val="single" w:color="auto" w:sz="4" w:space="0"/>
              <w:bottom w:val="single" w:color="auto" w:sz="4" w:space="0"/>
            </w:tcBorders>
          </w:tcPr>
          <w:p>
            <w:pP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日常检查、</w:t>
            </w:r>
          </w:p>
          <w:p>
            <w:pPr>
              <w:rPr>
                <w:rFonts w:cs="宋体" w:asciiTheme="minorEastAsia" w:hAnsiTheme="minorEastAsia" w:eastAsiaTheme="minorEastAsia"/>
                <w:kern w:val="0"/>
                <w:sz w:val="21"/>
                <w:szCs w:val="21"/>
              </w:rPr>
            </w:pPr>
            <w:r>
              <w:rPr>
                <w:rFonts w:hint="eastAsia" w:asciiTheme="minorEastAsia" w:hAnsiTheme="minorEastAsia" w:eastAsiaTheme="minorEastAsia" w:cstheme="minorEastAsia"/>
                <w:kern w:val="0"/>
                <w:sz w:val="21"/>
                <w:szCs w:val="21"/>
              </w:rPr>
              <w:t>专项检查</w:t>
            </w:r>
          </w:p>
        </w:tc>
        <w:tc>
          <w:tcPr>
            <w:tcW w:w="1843" w:type="dxa"/>
            <w:gridSpan w:val="2"/>
            <w:tcBorders>
              <w:top w:val="single" w:color="auto" w:sz="4" w:space="0"/>
              <w:bottom w:val="single" w:color="auto" w:sz="4" w:space="0"/>
            </w:tcBorders>
          </w:tcPr>
          <w:p>
            <w:pPr>
              <w:spacing w:line="240" w:lineRule="exact"/>
              <w:rPr>
                <w:rFonts w:cs="宋体" w:asciiTheme="minorEastAsia" w:hAnsiTheme="minorEastAsia" w:eastAsiaTheme="minorEastAsia"/>
                <w:kern w:val="0"/>
                <w:sz w:val="21"/>
                <w:szCs w:val="21"/>
              </w:rPr>
            </w:pPr>
            <w:r>
              <w:rPr>
                <w:rFonts w:hint="eastAsia" w:asciiTheme="minorEastAsia" w:hAnsiTheme="minorEastAsia" w:eastAsiaTheme="minorEastAsia" w:cstheme="minorEastAsia"/>
                <w:kern w:val="0"/>
                <w:sz w:val="21"/>
                <w:szCs w:val="21"/>
              </w:rPr>
              <w:t>1、“双随机、一公开”监管；2、重点监管；3、非现场监管。</w:t>
            </w:r>
          </w:p>
        </w:tc>
        <w:tc>
          <w:tcPr>
            <w:tcW w:w="1419" w:type="dxa"/>
            <w:tcBorders>
              <w:top w:val="single" w:color="auto" w:sz="4" w:space="0"/>
              <w:bottom w:val="single" w:color="auto" w:sz="4" w:space="0"/>
            </w:tcBorders>
          </w:tcPr>
          <w:p>
            <w:pPr>
              <w:rPr>
                <w:rFonts w:cs="Times New Roman" w:asciiTheme="minorEastAsia" w:hAnsiTheme="minorEastAsia" w:eastAsiaTheme="minorEastAsia"/>
                <w:kern w:val="0"/>
                <w:sz w:val="21"/>
                <w:szCs w:val="21"/>
              </w:rPr>
            </w:pPr>
            <w:r>
              <w:rPr>
                <w:rFonts w:hint="eastAsia" w:asciiTheme="minorEastAsia" w:hAnsiTheme="minorEastAsia" w:eastAsiaTheme="minorEastAsia" w:cstheme="minorEastAsia"/>
                <w:kern w:val="0"/>
                <w:sz w:val="21"/>
                <w:szCs w:val="21"/>
              </w:rPr>
              <w:t>内乡县</w:t>
            </w:r>
            <w:r>
              <w:rPr>
                <w:rFonts w:hint="eastAsia" w:asciiTheme="minorEastAsia" w:hAnsiTheme="minorEastAsia" w:cstheme="minorEastAsia"/>
                <w:kern w:val="0"/>
                <w:sz w:val="21"/>
                <w:szCs w:val="21"/>
                <w:lang w:eastAsia="zh-CN"/>
              </w:rPr>
              <w:t>文化广电和旅游局</w:t>
            </w:r>
          </w:p>
        </w:tc>
        <w:tc>
          <w:tcPr>
            <w:tcW w:w="4850" w:type="dxa"/>
            <w:tcBorders>
              <w:top w:val="single" w:color="auto" w:sz="4" w:space="0"/>
              <w:bottom w:val="single" w:color="auto" w:sz="4" w:space="0"/>
            </w:tcBorders>
          </w:tcPr>
          <w:p>
            <w:pPr>
              <w:rPr>
                <w:rFonts w:cs="宋体" w:asciiTheme="minorEastAsia" w:hAnsiTheme="minorEastAsia" w:eastAsiaTheme="minorEastAsia"/>
                <w:kern w:val="0"/>
                <w:sz w:val="21"/>
                <w:szCs w:val="21"/>
              </w:rPr>
            </w:pPr>
            <w:r>
              <w:rPr>
                <w:rFonts w:hint="eastAsia" w:asciiTheme="minorEastAsia" w:hAnsiTheme="minorEastAsia" w:eastAsiaTheme="minorEastAsia" w:cstheme="minorEastAsia"/>
                <w:kern w:val="0"/>
                <w:sz w:val="21"/>
                <w:szCs w:val="21"/>
              </w:rPr>
              <w:t>1.《国务院对确需保留的行政审批项目设定行政许可的决定》附件第305项：省级行政区域内或跨省经营广播电视节目传送业务。实施机关：广电总局。2.《国务院关于第六批取消和调整行政审批项目的决定》附件2《国务院决定调整的行政审批项目目录》（一）下放管理层级的行政审批项目第67项：将“省级行政区域内经营广播电视节目传送业务审批”下放省级人民政府广播电影电视行政部门。                                         3、《广播电视节目传送业务管理办法》第三条“国家广播电视总局负责全国广播电视节目传送业务的管理。县级以上广播电视行政部门负责本行政区域内广播电视节目传送业务的管理。”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After w:val="1"/>
          <w:wAfter w:w="519" w:type="dxa"/>
          <w:trHeight w:val="2179" w:hRule="atLeast"/>
        </w:trPr>
        <w:tc>
          <w:tcPr>
            <w:tcW w:w="667" w:type="dxa"/>
            <w:tcBorders>
              <w:top w:val="single" w:color="auto" w:sz="4" w:space="0"/>
              <w:bottom w:val="single" w:color="auto" w:sz="4" w:space="0"/>
            </w:tcBorders>
          </w:tcPr>
          <w:p>
            <w:pPr>
              <w:rPr>
                <w:rFonts w:hint="default" w:cs="宋体" w:asciiTheme="minorEastAsia" w:hAnsiTheme="minorEastAsia" w:eastAsiaTheme="minorEastAsia"/>
                <w:kern w:val="0"/>
                <w:sz w:val="21"/>
                <w:szCs w:val="21"/>
                <w:lang w:val="en-US" w:eastAsia="zh-CN"/>
              </w:rPr>
            </w:pPr>
            <w:r>
              <w:rPr>
                <w:rFonts w:hint="eastAsia" w:asciiTheme="minorEastAsia" w:hAnsiTheme="minorEastAsia" w:cstheme="minorEastAsia"/>
                <w:kern w:val="0"/>
                <w:sz w:val="21"/>
                <w:szCs w:val="21"/>
                <w:lang w:val="en-US" w:eastAsia="zh-CN"/>
              </w:rPr>
              <w:t>18</w:t>
            </w:r>
          </w:p>
        </w:tc>
        <w:tc>
          <w:tcPr>
            <w:tcW w:w="1138" w:type="dxa"/>
            <w:tcBorders>
              <w:top w:val="single" w:color="auto" w:sz="4" w:space="0"/>
              <w:bottom w:val="single" w:color="auto" w:sz="4" w:space="0"/>
              <w:right w:val="single" w:color="auto" w:sz="4" w:space="0"/>
            </w:tcBorders>
            <w:vAlign w:val="center"/>
          </w:tcPr>
          <w:p>
            <w:pPr>
              <w:widowControl/>
              <w:jc w:val="center"/>
              <w:textAlignment w:val="center"/>
              <w:rPr>
                <w:rFonts w:cs="Times New Roman" w:asciiTheme="minorEastAsia" w:hAnsiTheme="minorEastAsia" w:eastAsiaTheme="minorEastAsia"/>
                <w:kern w:val="0"/>
                <w:sz w:val="21"/>
                <w:szCs w:val="21"/>
              </w:rPr>
            </w:pPr>
            <w:r>
              <w:rPr>
                <w:rFonts w:hint="eastAsia" w:asciiTheme="minorEastAsia" w:hAnsiTheme="minorEastAsia" w:eastAsiaTheme="minorEastAsia" w:cstheme="minorEastAsia"/>
                <w:color w:val="000000"/>
                <w:kern w:val="0"/>
                <w:sz w:val="21"/>
                <w:szCs w:val="21"/>
              </w:rPr>
              <w:t>对设置使用卫星电视广播地面接收设施的监管</w:t>
            </w:r>
          </w:p>
        </w:tc>
        <w:tc>
          <w:tcPr>
            <w:tcW w:w="995" w:type="dxa"/>
            <w:tcBorders>
              <w:top w:val="single" w:color="auto" w:sz="4" w:space="0"/>
              <w:left w:val="single" w:color="auto" w:sz="4" w:space="0"/>
              <w:bottom w:val="single" w:color="auto" w:sz="4" w:space="0"/>
            </w:tcBorders>
            <w:vAlign w:val="center"/>
          </w:tcPr>
          <w:p>
            <w:pPr>
              <w:widowControl/>
              <w:jc w:val="center"/>
              <w:textAlignment w:val="center"/>
              <w:rPr>
                <w:rFonts w:cs="Times New Roman" w:asciiTheme="minorEastAsia" w:hAnsiTheme="minorEastAsia" w:eastAsiaTheme="minorEastAsia"/>
                <w:kern w:val="0"/>
                <w:sz w:val="21"/>
                <w:szCs w:val="21"/>
              </w:rPr>
            </w:pPr>
            <w:r>
              <w:rPr>
                <w:rFonts w:hint="eastAsia" w:asciiTheme="minorEastAsia" w:hAnsiTheme="minorEastAsia" w:eastAsiaTheme="minorEastAsia" w:cstheme="minorEastAsia"/>
                <w:color w:val="000000"/>
                <w:kern w:val="0"/>
                <w:sz w:val="21"/>
                <w:szCs w:val="21"/>
              </w:rPr>
              <w:t>对依法设置安装和使用卫星设施用户的行政检查</w:t>
            </w:r>
          </w:p>
        </w:tc>
        <w:tc>
          <w:tcPr>
            <w:tcW w:w="1701" w:type="dxa"/>
            <w:tcBorders>
              <w:top w:val="single" w:color="auto" w:sz="4" w:space="0"/>
              <w:bottom w:val="single" w:color="auto" w:sz="4" w:space="0"/>
            </w:tcBorders>
            <w:vAlign w:val="center"/>
          </w:tcPr>
          <w:p>
            <w:pPr>
              <w:widowControl/>
              <w:jc w:val="center"/>
              <w:textAlignment w:val="center"/>
              <w:rPr>
                <w:rFonts w:cs="Times New Roman" w:asciiTheme="minorEastAsia" w:hAnsiTheme="minorEastAsia" w:eastAsiaTheme="minorEastAsia"/>
                <w:kern w:val="0"/>
                <w:sz w:val="21"/>
                <w:szCs w:val="21"/>
              </w:rPr>
            </w:pPr>
            <w:r>
              <w:rPr>
                <w:rFonts w:hint="eastAsia" w:asciiTheme="minorEastAsia" w:hAnsiTheme="minorEastAsia" w:eastAsiaTheme="minorEastAsia" w:cstheme="minorEastAsia"/>
                <w:color w:val="000000"/>
                <w:kern w:val="0"/>
                <w:sz w:val="21"/>
                <w:szCs w:val="21"/>
              </w:rPr>
              <w:t>依法设置安装和使用卫星设施的单位和个人用户</w:t>
            </w:r>
          </w:p>
        </w:tc>
        <w:tc>
          <w:tcPr>
            <w:tcW w:w="1561" w:type="dxa"/>
            <w:tcBorders>
              <w:top w:val="single" w:color="auto" w:sz="4" w:space="0"/>
              <w:bottom w:val="single" w:color="auto" w:sz="4" w:space="0"/>
            </w:tcBorders>
          </w:tcPr>
          <w:p>
            <w:pP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日常检查、</w:t>
            </w:r>
          </w:p>
          <w:p>
            <w:pPr>
              <w:rPr>
                <w:rFonts w:cs="宋体" w:asciiTheme="minorEastAsia" w:hAnsiTheme="minorEastAsia" w:eastAsiaTheme="minorEastAsia"/>
                <w:kern w:val="0"/>
                <w:sz w:val="21"/>
                <w:szCs w:val="21"/>
              </w:rPr>
            </w:pPr>
            <w:r>
              <w:rPr>
                <w:rFonts w:hint="eastAsia" w:asciiTheme="minorEastAsia" w:hAnsiTheme="minorEastAsia" w:eastAsiaTheme="minorEastAsia" w:cstheme="minorEastAsia"/>
                <w:kern w:val="0"/>
                <w:sz w:val="21"/>
                <w:szCs w:val="21"/>
              </w:rPr>
              <w:t>专项检查</w:t>
            </w:r>
          </w:p>
        </w:tc>
        <w:tc>
          <w:tcPr>
            <w:tcW w:w="1843" w:type="dxa"/>
            <w:gridSpan w:val="2"/>
            <w:tcBorders>
              <w:top w:val="single" w:color="auto" w:sz="4" w:space="0"/>
              <w:bottom w:val="single" w:color="auto" w:sz="4" w:space="0"/>
            </w:tcBorders>
          </w:tcPr>
          <w:p>
            <w:pPr>
              <w:rPr>
                <w:rFonts w:hint="eastAsia" w:cs="宋体" w:asciiTheme="minorEastAsia" w:hAnsiTheme="minorEastAsia" w:eastAsiaTheme="minorEastAsia"/>
                <w:kern w:val="0"/>
                <w:sz w:val="21"/>
                <w:szCs w:val="21"/>
                <w:lang w:eastAsia="zh-CN"/>
              </w:rPr>
            </w:pPr>
            <w:r>
              <w:rPr>
                <w:rFonts w:hint="eastAsia" w:cs="宋体" w:asciiTheme="minorEastAsia" w:hAnsiTheme="minorEastAsia"/>
                <w:kern w:val="0"/>
                <w:sz w:val="21"/>
                <w:szCs w:val="21"/>
                <w:lang w:eastAsia="zh-CN"/>
              </w:rPr>
              <w:t>现场检查</w:t>
            </w:r>
          </w:p>
        </w:tc>
        <w:tc>
          <w:tcPr>
            <w:tcW w:w="1419" w:type="dxa"/>
            <w:tcBorders>
              <w:top w:val="single" w:color="auto" w:sz="4" w:space="0"/>
              <w:bottom w:val="single" w:color="auto" w:sz="4" w:space="0"/>
            </w:tcBorders>
          </w:tcPr>
          <w:p>
            <w:pPr>
              <w:rPr>
                <w:rFonts w:cs="Times New Roman" w:asciiTheme="minorEastAsia" w:hAnsiTheme="minorEastAsia" w:eastAsiaTheme="minorEastAsia"/>
                <w:kern w:val="0"/>
                <w:sz w:val="21"/>
                <w:szCs w:val="21"/>
              </w:rPr>
            </w:pPr>
            <w:r>
              <w:rPr>
                <w:rFonts w:hint="eastAsia" w:asciiTheme="minorEastAsia" w:hAnsiTheme="minorEastAsia" w:eastAsiaTheme="minorEastAsia" w:cstheme="minorEastAsia"/>
                <w:kern w:val="0"/>
                <w:sz w:val="21"/>
                <w:szCs w:val="21"/>
              </w:rPr>
              <w:t>内乡县</w:t>
            </w:r>
            <w:r>
              <w:rPr>
                <w:rFonts w:hint="eastAsia" w:asciiTheme="minorEastAsia" w:hAnsiTheme="minorEastAsia" w:cstheme="minorEastAsia"/>
                <w:kern w:val="0"/>
                <w:sz w:val="21"/>
                <w:szCs w:val="21"/>
                <w:lang w:eastAsia="zh-CN"/>
              </w:rPr>
              <w:t>文化广电和旅游局</w:t>
            </w:r>
          </w:p>
        </w:tc>
        <w:tc>
          <w:tcPr>
            <w:tcW w:w="4850" w:type="dxa"/>
            <w:tcBorders>
              <w:top w:val="single" w:color="auto" w:sz="4" w:space="0"/>
              <w:bottom w:val="single" w:color="auto" w:sz="4" w:space="0"/>
            </w:tcBorders>
          </w:tcPr>
          <w:p>
            <w:pPr>
              <w:rPr>
                <w:rFonts w:cs="宋体" w:asciiTheme="minorEastAsia" w:hAnsiTheme="minorEastAsia" w:eastAsiaTheme="minorEastAsia"/>
                <w:kern w:val="0"/>
                <w:sz w:val="21"/>
                <w:szCs w:val="21"/>
              </w:rPr>
            </w:pPr>
            <w:r>
              <w:rPr>
                <w:rFonts w:hint="eastAsia" w:asciiTheme="minorEastAsia" w:hAnsiTheme="minorEastAsia" w:eastAsiaTheme="minorEastAsia" w:cstheme="minorEastAsia"/>
                <w:kern w:val="0"/>
                <w:sz w:val="21"/>
                <w:szCs w:val="21"/>
              </w:rPr>
              <w:t>1.《卫星电视广播地面接收设施管理规定》实施细则第二条：广播电视行政管理部门的职责是对卫星地面接收设施实行归口管理，审批卫星地面接收设施的设置，组织对卫星地面接收设施的生产、销售、使用情况进行检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After w:val="1"/>
          <w:wAfter w:w="519" w:type="dxa"/>
          <w:trHeight w:val="3475" w:hRule="atLeast"/>
        </w:trPr>
        <w:tc>
          <w:tcPr>
            <w:tcW w:w="667" w:type="dxa"/>
            <w:tcBorders>
              <w:top w:val="single" w:color="auto" w:sz="4" w:space="0"/>
              <w:bottom w:val="single" w:color="auto" w:sz="4" w:space="0"/>
            </w:tcBorders>
          </w:tcPr>
          <w:p>
            <w:pPr>
              <w:rPr>
                <w:rFonts w:hint="default" w:cs="宋体" w:asciiTheme="minorEastAsia" w:hAnsiTheme="minorEastAsia" w:eastAsiaTheme="minorEastAsia"/>
                <w:kern w:val="0"/>
                <w:sz w:val="21"/>
                <w:szCs w:val="21"/>
                <w:lang w:val="en-US" w:eastAsia="zh-CN"/>
              </w:rPr>
            </w:pPr>
            <w:r>
              <w:rPr>
                <w:rFonts w:hint="eastAsia" w:asciiTheme="minorEastAsia" w:hAnsiTheme="minorEastAsia" w:cstheme="minorEastAsia"/>
                <w:kern w:val="0"/>
                <w:sz w:val="21"/>
                <w:szCs w:val="21"/>
                <w:lang w:val="en-US" w:eastAsia="zh-CN"/>
              </w:rPr>
              <w:t>19</w:t>
            </w:r>
          </w:p>
        </w:tc>
        <w:tc>
          <w:tcPr>
            <w:tcW w:w="1138" w:type="dxa"/>
            <w:tcBorders>
              <w:top w:val="single" w:color="auto" w:sz="4" w:space="0"/>
              <w:bottom w:val="single" w:color="auto" w:sz="4" w:space="0"/>
              <w:right w:val="single" w:color="auto" w:sz="4" w:space="0"/>
            </w:tcBorders>
            <w:vAlign w:val="center"/>
          </w:tcPr>
          <w:p>
            <w:pPr>
              <w:widowControl/>
              <w:jc w:val="center"/>
              <w:textAlignment w:val="center"/>
              <w:rPr>
                <w:rFonts w:cs="Times New Roman" w:asciiTheme="minorEastAsia" w:hAnsiTheme="minorEastAsia" w:eastAsiaTheme="minorEastAsia"/>
                <w:kern w:val="0"/>
                <w:sz w:val="21"/>
                <w:szCs w:val="21"/>
              </w:rPr>
            </w:pPr>
            <w:r>
              <w:rPr>
                <w:rFonts w:hint="eastAsia" w:asciiTheme="minorEastAsia" w:hAnsiTheme="minorEastAsia" w:eastAsiaTheme="minorEastAsia" w:cstheme="minorEastAsia"/>
                <w:color w:val="000000"/>
                <w:kern w:val="0"/>
                <w:sz w:val="21"/>
                <w:szCs w:val="21"/>
              </w:rPr>
              <w:t>对文物购销、拍卖经营的监管</w:t>
            </w:r>
          </w:p>
        </w:tc>
        <w:tc>
          <w:tcPr>
            <w:tcW w:w="995" w:type="dxa"/>
            <w:tcBorders>
              <w:top w:val="single" w:color="auto" w:sz="4" w:space="0"/>
              <w:left w:val="single" w:color="auto" w:sz="4" w:space="0"/>
              <w:bottom w:val="single" w:color="auto" w:sz="4" w:space="0"/>
            </w:tcBorders>
            <w:vAlign w:val="center"/>
          </w:tcPr>
          <w:p>
            <w:pPr>
              <w:widowControl/>
              <w:jc w:val="center"/>
              <w:textAlignment w:val="center"/>
              <w:rPr>
                <w:rFonts w:cs="Times New Roman" w:asciiTheme="minorEastAsia" w:hAnsiTheme="minorEastAsia" w:eastAsiaTheme="minorEastAsia"/>
                <w:kern w:val="0"/>
                <w:sz w:val="21"/>
                <w:szCs w:val="21"/>
              </w:rPr>
            </w:pPr>
            <w:r>
              <w:rPr>
                <w:rFonts w:hint="eastAsia" w:asciiTheme="minorEastAsia" w:hAnsiTheme="minorEastAsia" w:eastAsiaTheme="minorEastAsia" w:cstheme="minorEastAsia"/>
                <w:color w:val="000000"/>
                <w:kern w:val="0"/>
                <w:sz w:val="21"/>
                <w:szCs w:val="21"/>
              </w:rPr>
              <w:t>对文物购销、拍卖经营的行政检查</w:t>
            </w:r>
          </w:p>
        </w:tc>
        <w:tc>
          <w:tcPr>
            <w:tcW w:w="1701" w:type="dxa"/>
            <w:tcBorders>
              <w:top w:val="single" w:color="auto" w:sz="4" w:space="0"/>
              <w:bottom w:val="single" w:color="auto" w:sz="4" w:space="0"/>
            </w:tcBorders>
            <w:vAlign w:val="center"/>
          </w:tcPr>
          <w:p>
            <w:pPr>
              <w:widowControl/>
              <w:jc w:val="center"/>
              <w:textAlignment w:val="center"/>
              <w:rPr>
                <w:rFonts w:cs="Times New Roman" w:asciiTheme="minorEastAsia" w:hAnsiTheme="minorEastAsia" w:eastAsiaTheme="minorEastAsia"/>
                <w:kern w:val="0"/>
                <w:sz w:val="21"/>
                <w:szCs w:val="21"/>
              </w:rPr>
            </w:pPr>
            <w:r>
              <w:rPr>
                <w:rFonts w:hint="eastAsia" w:asciiTheme="minorEastAsia" w:hAnsiTheme="minorEastAsia" w:eastAsiaTheme="minorEastAsia" w:cstheme="minorEastAsia"/>
                <w:color w:val="000000"/>
                <w:kern w:val="0"/>
                <w:sz w:val="21"/>
                <w:szCs w:val="21"/>
              </w:rPr>
              <w:t>文物商店和文物拍卖企业</w:t>
            </w:r>
          </w:p>
        </w:tc>
        <w:tc>
          <w:tcPr>
            <w:tcW w:w="1561" w:type="dxa"/>
            <w:tcBorders>
              <w:top w:val="single" w:color="auto" w:sz="4" w:space="0"/>
              <w:bottom w:val="single" w:color="auto" w:sz="4" w:space="0"/>
            </w:tcBorders>
          </w:tcPr>
          <w:p>
            <w:pP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日常检查、</w:t>
            </w:r>
          </w:p>
          <w:p>
            <w:pPr>
              <w:rPr>
                <w:rFonts w:cs="宋体" w:asciiTheme="minorEastAsia" w:hAnsiTheme="minorEastAsia" w:eastAsiaTheme="minorEastAsia"/>
                <w:kern w:val="0"/>
                <w:sz w:val="21"/>
                <w:szCs w:val="21"/>
              </w:rPr>
            </w:pPr>
            <w:r>
              <w:rPr>
                <w:rFonts w:hint="eastAsia" w:asciiTheme="minorEastAsia" w:hAnsiTheme="minorEastAsia" w:eastAsiaTheme="minorEastAsia" w:cstheme="minorEastAsia"/>
                <w:kern w:val="0"/>
                <w:sz w:val="21"/>
                <w:szCs w:val="21"/>
              </w:rPr>
              <w:t>专项检查</w:t>
            </w:r>
          </w:p>
        </w:tc>
        <w:tc>
          <w:tcPr>
            <w:tcW w:w="1843" w:type="dxa"/>
            <w:gridSpan w:val="2"/>
            <w:tcBorders>
              <w:top w:val="single" w:color="auto" w:sz="4" w:space="0"/>
              <w:bottom w:val="single" w:color="auto" w:sz="4" w:space="0"/>
            </w:tcBorders>
          </w:tcPr>
          <w:p>
            <w:pPr>
              <w:rPr>
                <w:rFonts w:cs="宋体" w:asciiTheme="minorEastAsia" w:hAnsiTheme="minorEastAsia" w:eastAsiaTheme="minorEastAsia"/>
                <w:kern w:val="0"/>
                <w:sz w:val="21"/>
                <w:szCs w:val="21"/>
              </w:rPr>
            </w:pPr>
            <w:r>
              <w:rPr>
                <w:rFonts w:hint="eastAsia" w:asciiTheme="minorEastAsia" w:hAnsiTheme="minorEastAsia" w:eastAsiaTheme="minorEastAsia" w:cstheme="minorEastAsia"/>
                <w:kern w:val="0"/>
                <w:sz w:val="21"/>
                <w:szCs w:val="21"/>
              </w:rPr>
              <w:t>双随机、一公开”监管</w:t>
            </w:r>
          </w:p>
        </w:tc>
        <w:tc>
          <w:tcPr>
            <w:tcW w:w="1419" w:type="dxa"/>
            <w:tcBorders>
              <w:top w:val="single" w:color="auto" w:sz="4" w:space="0"/>
              <w:bottom w:val="single" w:color="auto" w:sz="4" w:space="0"/>
            </w:tcBorders>
          </w:tcPr>
          <w:p>
            <w:pPr>
              <w:rPr>
                <w:rFonts w:cs="Times New Roman" w:asciiTheme="minorEastAsia" w:hAnsiTheme="minorEastAsia" w:eastAsiaTheme="minorEastAsia"/>
                <w:kern w:val="0"/>
                <w:sz w:val="21"/>
                <w:szCs w:val="21"/>
              </w:rPr>
            </w:pPr>
            <w:r>
              <w:rPr>
                <w:rFonts w:hint="eastAsia" w:asciiTheme="minorEastAsia" w:hAnsiTheme="minorEastAsia" w:eastAsiaTheme="minorEastAsia" w:cstheme="minorEastAsia"/>
                <w:kern w:val="0"/>
                <w:sz w:val="21"/>
                <w:szCs w:val="21"/>
              </w:rPr>
              <w:t>内乡县</w:t>
            </w:r>
            <w:r>
              <w:rPr>
                <w:rFonts w:hint="eastAsia" w:asciiTheme="minorEastAsia" w:hAnsiTheme="minorEastAsia" w:cstheme="minorEastAsia"/>
                <w:kern w:val="0"/>
                <w:sz w:val="21"/>
                <w:szCs w:val="21"/>
                <w:lang w:eastAsia="zh-CN"/>
              </w:rPr>
              <w:t>文化广电和旅游局</w:t>
            </w:r>
          </w:p>
        </w:tc>
        <w:tc>
          <w:tcPr>
            <w:tcW w:w="4850" w:type="dxa"/>
            <w:tcBorders>
              <w:top w:val="single" w:color="auto" w:sz="4" w:space="0"/>
              <w:bottom w:val="single" w:color="auto" w:sz="4" w:space="0"/>
            </w:tcBorders>
          </w:tcPr>
          <w:p>
            <w:pPr>
              <w:rPr>
                <w:rFonts w:cs="宋体" w:asciiTheme="minorEastAsia" w:hAnsiTheme="minorEastAsia" w:eastAsiaTheme="minorEastAsia"/>
                <w:kern w:val="0"/>
                <w:sz w:val="21"/>
                <w:szCs w:val="21"/>
              </w:rPr>
            </w:pPr>
            <w:r>
              <w:rPr>
                <w:rFonts w:hint="eastAsia" w:asciiTheme="minorEastAsia" w:hAnsiTheme="minorEastAsia" w:eastAsiaTheme="minorEastAsia" w:cstheme="minorEastAsia"/>
                <w:kern w:val="0"/>
                <w:sz w:val="21"/>
                <w:szCs w:val="21"/>
              </w:rPr>
              <w:t>《中华人民共和国文物保护法实施条例》第四十三条文物商店购买、销售文物，经营文物拍卖的拍卖企业拍卖文物，应当记录文物的名称、图录、来源、文物的出卖人、委托人和买受人的姓名或者名称、住所、有效身份证件号码或者有效证照号码以及成交价格，并报省、自治区、直辖市人民政府文物行政主管部门备案。接受备案的文物行政主管部门应当依法为其保密，并将该记录保存75年。文物行政主管部门应当加强对文物商店和经营文物拍卖的拍卖企业的监督检查。（备注：此事项已向国务院推进职能转变协调小组办公室报送为双随机一公开监管事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After w:val="1"/>
          <w:wAfter w:w="519" w:type="dxa"/>
          <w:trHeight w:val="189" w:hRule="atLeast"/>
        </w:trPr>
        <w:tc>
          <w:tcPr>
            <w:tcW w:w="667" w:type="dxa"/>
            <w:tcBorders>
              <w:top w:val="single" w:color="auto" w:sz="4" w:space="0"/>
              <w:bottom w:val="single" w:color="auto" w:sz="4" w:space="0"/>
            </w:tcBorders>
          </w:tcPr>
          <w:p>
            <w:pPr>
              <w:rPr>
                <w:rFonts w:hint="default" w:cs="宋体" w:asciiTheme="minorEastAsia" w:hAnsiTheme="minorEastAsia" w:eastAsiaTheme="minorEastAsia"/>
                <w:kern w:val="0"/>
                <w:sz w:val="21"/>
                <w:szCs w:val="21"/>
                <w:lang w:val="en-US" w:eastAsia="zh-CN"/>
              </w:rPr>
            </w:pPr>
            <w:r>
              <w:rPr>
                <w:rFonts w:hint="eastAsia" w:asciiTheme="minorEastAsia" w:hAnsiTheme="minorEastAsia" w:cstheme="minorEastAsia"/>
                <w:kern w:val="0"/>
                <w:sz w:val="21"/>
                <w:szCs w:val="21"/>
                <w:lang w:val="en-US" w:eastAsia="zh-CN"/>
              </w:rPr>
              <w:t>20</w:t>
            </w:r>
          </w:p>
        </w:tc>
        <w:tc>
          <w:tcPr>
            <w:tcW w:w="1138" w:type="dxa"/>
            <w:tcBorders>
              <w:top w:val="single" w:color="auto" w:sz="4" w:space="0"/>
              <w:bottom w:val="single" w:color="auto" w:sz="4" w:space="0"/>
              <w:right w:val="single" w:color="auto" w:sz="4" w:space="0"/>
            </w:tcBorders>
            <w:vAlign w:val="center"/>
          </w:tcPr>
          <w:p>
            <w:pPr>
              <w:widowControl/>
              <w:jc w:val="center"/>
              <w:textAlignment w:val="center"/>
              <w:rPr>
                <w:rFonts w:cs="Times New Roman" w:asciiTheme="minorEastAsia" w:hAnsiTheme="minorEastAsia" w:eastAsiaTheme="minorEastAsia"/>
                <w:kern w:val="0"/>
                <w:sz w:val="21"/>
                <w:szCs w:val="21"/>
              </w:rPr>
            </w:pPr>
            <w:r>
              <w:rPr>
                <w:rFonts w:hint="eastAsia" w:asciiTheme="minorEastAsia" w:hAnsiTheme="minorEastAsia" w:eastAsiaTheme="minorEastAsia" w:cstheme="minorEastAsia"/>
                <w:color w:val="000000"/>
                <w:kern w:val="0"/>
                <w:sz w:val="21"/>
                <w:szCs w:val="21"/>
              </w:rPr>
              <w:t>对擅自在文物保护单位的保护范围内进行建设工程或者爆破、钻探、挖掘等作业行为;在文物保护单位的建设控制地带内进行建设工程;擅自迁移、拆除不可移动文物行为；擅自修缮不可移动文物行为;擅自在原址重建已全部毁坏的不可移动文物行为;施工单位文物保护工程资质;在原址重建已全部毁坏的不可移动文物行为的监管</w:t>
            </w:r>
          </w:p>
        </w:tc>
        <w:tc>
          <w:tcPr>
            <w:tcW w:w="995" w:type="dxa"/>
            <w:tcBorders>
              <w:top w:val="single" w:color="auto" w:sz="4" w:space="0"/>
              <w:left w:val="single" w:color="auto" w:sz="4" w:space="0"/>
              <w:bottom w:val="single" w:color="auto" w:sz="4" w:space="0"/>
            </w:tcBorders>
            <w:vAlign w:val="center"/>
          </w:tcPr>
          <w:p>
            <w:pPr>
              <w:widowControl/>
              <w:jc w:val="center"/>
              <w:textAlignment w:val="center"/>
              <w:rPr>
                <w:rFonts w:cs="Times New Roman" w:asciiTheme="minorEastAsia" w:hAnsiTheme="minorEastAsia" w:eastAsiaTheme="minorEastAsia"/>
                <w:kern w:val="0"/>
                <w:sz w:val="21"/>
                <w:szCs w:val="21"/>
              </w:rPr>
            </w:pPr>
            <w:r>
              <w:rPr>
                <w:rFonts w:hint="eastAsia" w:asciiTheme="minorEastAsia" w:hAnsiTheme="minorEastAsia" w:eastAsiaTheme="minorEastAsia" w:cstheme="minorEastAsia"/>
                <w:color w:val="000000"/>
                <w:kern w:val="0"/>
                <w:sz w:val="21"/>
                <w:szCs w:val="21"/>
              </w:rPr>
              <w:t>对擅自在文物保护单位的保护范围内进行建设工程或者爆破、钻探、挖掘等作业行为;在文物保护单位的建设控制地带内进行建设工程，其工程设计方案未经文物行政部门同意、报城乡建设规划部门批准，对文物保护单位的历史风貌造成破坏行为;擅自迁移、拆除不可移动文物行为;擅自修缮不可移动文物，明显改变文物原状行为;擅自在原址重建已全部毁坏的不可移动文物，造成文物破坏行为;施工单位未取得文物保护工程资质证书，擅自从事文物修缮、迁移、重建行为的行政检查</w:t>
            </w:r>
          </w:p>
        </w:tc>
        <w:tc>
          <w:tcPr>
            <w:tcW w:w="1701" w:type="dxa"/>
            <w:tcBorders>
              <w:top w:val="single" w:color="auto" w:sz="4" w:space="0"/>
              <w:bottom w:val="single" w:color="auto" w:sz="4" w:space="0"/>
            </w:tcBorders>
            <w:vAlign w:val="center"/>
          </w:tcPr>
          <w:p>
            <w:pPr>
              <w:widowControl/>
              <w:jc w:val="center"/>
              <w:textAlignment w:val="center"/>
              <w:rPr>
                <w:rFonts w:cs="Times New Roman" w:asciiTheme="minorEastAsia" w:hAnsiTheme="minorEastAsia" w:eastAsiaTheme="minorEastAsia"/>
                <w:kern w:val="0"/>
                <w:sz w:val="21"/>
                <w:szCs w:val="21"/>
              </w:rPr>
            </w:pPr>
            <w:r>
              <w:rPr>
                <w:rFonts w:hint="eastAsia" w:asciiTheme="minorEastAsia" w:hAnsiTheme="minorEastAsia" w:eastAsiaTheme="minorEastAsia" w:cstheme="minorEastAsia"/>
                <w:color w:val="000000"/>
                <w:kern w:val="0"/>
                <w:sz w:val="21"/>
                <w:szCs w:val="21"/>
              </w:rPr>
              <w:t>自然人、法人、其他组织</w:t>
            </w:r>
          </w:p>
        </w:tc>
        <w:tc>
          <w:tcPr>
            <w:tcW w:w="1561" w:type="dxa"/>
            <w:tcBorders>
              <w:top w:val="single" w:color="auto" w:sz="4" w:space="0"/>
              <w:bottom w:val="single" w:color="auto" w:sz="4" w:space="0"/>
            </w:tcBorders>
          </w:tcPr>
          <w:p>
            <w:pP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日常检查、</w:t>
            </w:r>
          </w:p>
          <w:p>
            <w:pPr>
              <w:rPr>
                <w:rFonts w:cs="宋体" w:asciiTheme="minorEastAsia" w:hAnsiTheme="minorEastAsia" w:eastAsiaTheme="minorEastAsia"/>
                <w:kern w:val="0"/>
                <w:sz w:val="21"/>
                <w:szCs w:val="21"/>
              </w:rPr>
            </w:pPr>
            <w:r>
              <w:rPr>
                <w:rFonts w:hint="eastAsia" w:asciiTheme="minorEastAsia" w:hAnsiTheme="minorEastAsia" w:eastAsiaTheme="minorEastAsia" w:cstheme="minorEastAsia"/>
                <w:kern w:val="0"/>
                <w:sz w:val="21"/>
                <w:szCs w:val="21"/>
              </w:rPr>
              <w:t>专项检查</w:t>
            </w:r>
          </w:p>
        </w:tc>
        <w:tc>
          <w:tcPr>
            <w:tcW w:w="1843" w:type="dxa"/>
            <w:gridSpan w:val="2"/>
            <w:tcBorders>
              <w:top w:val="single" w:color="auto" w:sz="4" w:space="0"/>
              <w:bottom w:val="single" w:color="auto" w:sz="4" w:space="0"/>
            </w:tcBorders>
          </w:tcPr>
          <w:p>
            <w:pPr>
              <w:rPr>
                <w:rFonts w:cs="宋体" w:asciiTheme="minorEastAsia" w:hAnsiTheme="minorEastAsia" w:eastAsiaTheme="minorEastAsia"/>
                <w:kern w:val="0"/>
                <w:sz w:val="21"/>
                <w:szCs w:val="21"/>
              </w:rPr>
            </w:pPr>
            <w:r>
              <w:rPr>
                <w:rFonts w:hint="eastAsia" w:asciiTheme="minorEastAsia" w:hAnsiTheme="minorEastAsia" w:eastAsiaTheme="minorEastAsia" w:cstheme="minorEastAsia"/>
                <w:kern w:val="0"/>
                <w:sz w:val="21"/>
                <w:szCs w:val="21"/>
              </w:rPr>
              <w:t>重点监管</w:t>
            </w:r>
          </w:p>
        </w:tc>
        <w:tc>
          <w:tcPr>
            <w:tcW w:w="1419" w:type="dxa"/>
            <w:tcBorders>
              <w:top w:val="single" w:color="auto" w:sz="4" w:space="0"/>
              <w:bottom w:val="single" w:color="auto" w:sz="4" w:space="0"/>
            </w:tcBorders>
          </w:tcPr>
          <w:p>
            <w:pPr>
              <w:rPr>
                <w:rFonts w:cs="Times New Roman" w:asciiTheme="minorEastAsia" w:hAnsiTheme="minorEastAsia" w:eastAsiaTheme="minorEastAsia"/>
                <w:kern w:val="0"/>
                <w:sz w:val="21"/>
                <w:szCs w:val="21"/>
              </w:rPr>
            </w:pPr>
            <w:r>
              <w:rPr>
                <w:rFonts w:hint="eastAsia" w:asciiTheme="minorEastAsia" w:hAnsiTheme="minorEastAsia" w:eastAsiaTheme="minorEastAsia" w:cstheme="minorEastAsia"/>
                <w:kern w:val="0"/>
                <w:sz w:val="21"/>
                <w:szCs w:val="21"/>
              </w:rPr>
              <w:t>内乡县</w:t>
            </w:r>
            <w:r>
              <w:rPr>
                <w:rFonts w:hint="eastAsia" w:asciiTheme="minorEastAsia" w:hAnsiTheme="minorEastAsia" w:cstheme="minorEastAsia"/>
                <w:kern w:val="0"/>
                <w:sz w:val="21"/>
                <w:szCs w:val="21"/>
                <w:lang w:eastAsia="zh-CN"/>
              </w:rPr>
              <w:t>文化广电和旅游局</w:t>
            </w:r>
          </w:p>
        </w:tc>
        <w:tc>
          <w:tcPr>
            <w:tcW w:w="4850" w:type="dxa"/>
            <w:tcBorders>
              <w:top w:val="single" w:color="auto" w:sz="4" w:space="0"/>
              <w:bottom w:val="single" w:color="auto" w:sz="4" w:space="0"/>
            </w:tcBorders>
          </w:tcPr>
          <w:p>
            <w:pP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"《中华人民共和国文物保护法》第六十六条　有下列行为之一，尚不构成犯罪的，由县级以上人民政府文物主管部门责令改正，造成严重后果的，处五万元以上五十万元以下的罚款；情节严重的，由原发证机关吊销资质证书:</w:t>
            </w:r>
          </w:p>
          <w:p>
            <w:pP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（一）擅自在文物保护单位的保护范围内进行建设工程或者爆破、钻探、挖掘等作业的；</w:t>
            </w:r>
          </w:p>
          <w:p>
            <w:pP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（二）在文物保护单位的建设控制地带内进行建设工程，其工程设计方案未经文物行政部门同意、报城乡建设规划部门批准，对文物保护单位的历史风貌造成破坏的；</w:t>
            </w:r>
          </w:p>
          <w:p>
            <w:pP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（三）擅自迁移、拆除不可移动文物的；</w:t>
            </w:r>
          </w:p>
          <w:p>
            <w:pP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（四）擅自修缮不可移动文物，明显改变文物原状的；</w:t>
            </w:r>
          </w:p>
          <w:p>
            <w:pP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（五）擅自在原址重建已全部毁坏的不可移动文物，造成文物破坏的；</w:t>
            </w:r>
          </w:p>
          <w:p>
            <w:pP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（六）施工单位未取得文物保护工程资质证书，擅自从事文物修缮、迁移、重建的。</w:t>
            </w:r>
          </w:p>
          <w:p>
            <w:pP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刻划、涂污或者损坏文物尚不严重的，或者损毁依照本法第十五条第一款规定设立的文物保护单位标志的，由公安机关或者文物所在单位给予警告，可以并处罚款。</w:t>
            </w:r>
          </w:p>
          <w:p>
            <w:pPr>
              <w:rPr>
                <w:rFonts w:hint="eastAsia" w:asciiTheme="minorEastAsia" w:hAnsiTheme="minorEastAsia" w:eastAsiaTheme="minorEastAsia" w:cstheme="minorEastAsia"/>
                <w:kern w:val="0"/>
                <w:sz w:val="21"/>
                <w:szCs w:val="21"/>
              </w:rPr>
            </w:pPr>
          </w:p>
          <w:p>
            <w:pPr>
              <w:rPr>
                <w:rFonts w:cs="宋体" w:asciiTheme="minorEastAsia" w:hAnsiTheme="minorEastAsia" w:eastAsiaTheme="minorEastAsia"/>
                <w:kern w:val="0"/>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After w:val="1"/>
          <w:wAfter w:w="519" w:type="dxa"/>
          <w:trHeight w:val="2219" w:hRule="atLeast"/>
        </w:trPr>
        <w:tc>
          <w:tcPr>
            <w:tcW w:w="667" w:type="dxa"/>
            <w:tcBorders>
              <w:top w:val="single" w:color="auto" w:sz="4" w:space="0"/>
              <w:bottom w:val="single" w:color="auto" w:sz="4" w:space="0"/>
            </w:tcBorders>
          </w:tcPr>
          <w:p>
            <w:pPr>
              <w:rPr>
                <w:rFonts w:hint="default" w:cs="宋体" w:asciiTheme="minorEastAsia" w:hAnsiTheme="minorEastAsia" w:eastAsiaTheme="minorEastAsia"/>
                <w:kern w:val="0"/>
                <w:sz w:val="21"/>
                <w:szCs w:val="21"/>
                <w:lang w:val="en-US" w:eastAsia="zh-CN"/>
              </w:rPr>
            </w:pPr>
            <w:r>
              <w:rPr>
                <w:rFonts w:hint="eastAsia" w:asciiTheme="minorEastAsia" w:hAnsiTheme="minorEastAsia" w:cstheme="minorEastAsia"/>
                <w:kern w:val="0"/>
                <w:sz w:val="21"/>
                <w:szCs w:val="21"/>
                <w:lang w:val="en-US" w:eastAsia="zh-CN"/>
              </w:rPr>
              <w:t>21</w:t>
            </w:r>
          </w:p>
        </w:tc>
        <w:tc>
          <w:tcPr>
            <w:tcW w:w="1138" w:type="dxa"/>
            <w:tcBorders>
              <w:top w:val="single" w:color="auto" w:sz="4" w:space="0"/>
              <w:bottom w:val="single" w:color="auto" w:sz="4" w:space="0"/>
              <w:right w:val="single" w:color="auto" w:sz="4" w:space="0"/>
            </w:tcBorders>
            <w:vAlign w:val="center"/>
          </w:tcPr>
          <w:p>
            <w:pPr>
              <w:widowControl/>
              <w:jc w:val="center"/>
              <w:textAlignment w:val="center"/>
              <w:rPr>
                <w:rFonts w:cs="Times New Roman" w:asciiTheme="minorEastAsia" w:hAnsiTheme="minorEastAsia" w:eastAsiaTheme="minorEastAsia"/>
                <w:kern w:val="0"/>
                <w:sz w:val="21"/>
                <w:szCs w:val="21"/>
              </w:rPr>
            </w:pPr>
            <w:r>
              <w:rPr>
                <w:rFonts w:hint="eastAsia" w:asciiTheme="minorEastAsia" w:hAnsiTheme="minorEastAsia" w:eastAsiaTheme="minorEastAsia" w:cstheme="minorEastAsia"/>
                <w:color w:val="000000"/>
                <w:kern w:val="0"/>
                <w:sz w:val="21"/>
                <w:szCs w:val="21"/>
              </w:rPr>
              <w:t>对未取得资质证书从事馆藏文物修复、复制、拓印活动的监管</w:t>
            </w:r>
          </w:p>
        </w:tc>
        <w:tc>
          <w:tcPr>
            <w:tcW w:w="995" w:type="dxa"/>
            <w:tcBorders>
              <w:top w:val="single" w:color="auto" w:sz="4" w:space="0"/>
              <w:left w:val="single" w:color="auto" w:sz="4" w:space="0"/>
              <w:bottom w:val="single" w:color="auto" w:sz="4" w:space="0"/>
            </w:tcBorders>
            <w:vAlign w:val="center"/>
          </w:tcPr>
          <w:p>
            <w:pPr>
              <w:widowControl/>
              <w:jc w:val="center"/>
              <w:textAlignment w:val="center"/>
              <w:rPr>
                <w:rFonts w:cs="Times New Roman" w:asciiTheme="minorEastAsia" w:hAnsiTheme="minorEastAsia" w:eastAsiaTheme="minorEastAsia"/>
                <w:kern w:val="0"/>
                <w:sz w:val="21"/>
                <w:szCs w:val="21"/>
              </w:rPr>
            </w:pPr>
            <w:r>
              <w:rPr>
                <w:rFonts w:hint="eastAsia" w:asciiTheme="minorEastAsia" w:hAnsiTheme="minorEastAsia" w:eastAsiaTheme="minorEastAsia" w:cstheme="minorEastAsia"/>
                <w:color w:val="000000"/>
                <w:kern w:val="0"/>
                <w:sz w:val="21"/>
                <w:szCs w:val="21"/>
              </w:rPr>
              <w:t>对未取得资质证书从事馆藏文物的修复、复制、拓印违法行为的行政检查</w:t>
            </w:r>
          </w:p>
        </w:tc>
        <w:tc>
          <w:tcPr>
            <w:tcW w:w="1701" w:type="dxa"/>
            <w:tcBorders>
              <w:top w:val="single" w:color="auto" w:sz="4" w:space="0"/>
              <w:bottom w:val="single" w:color="auto" w:sz="4" w:space="0"/>
            </w:tcBorders>
            <w:vAlign w:val="center"/>
          </w:tcPr>
          <w:p>
            <w:pPr>
              <w:widowControl/>
              <w:jc w:val="center"/>
              <w:textAlignment w:val="center"/>
              <w:rPr>
                <w:rFonts w:cs="Times New Roman" w:asciiTheme="minorEastAsia" w:hAnsiTheme="minorEastAsia" w:eastAsiaTheme="minorEastAsia"/>
                <w:kern w:val="0"/>
                <w:sz w:val="21"/>
                <w:szCs w:val="21"/>
              </w:rPr>
            </w:pPr>
            <w:r>
              <w:rPr>
                <w:rFonts w:hint="eastAsia" w:asciiTheme="minorEastAsia" w:hAnsiTheme="minorEastAsia" w:eastAsiaTheme="minorEastAsia" w:cstheme="minorEastAsia"/>
                <w:color w:val="000000"/>
                <w:kern w:val="0"/>
                <w:sz w:val="21"/>
                <w:szCs w:val="21"/>
              </w:rPr>
              <w:t>自然人、法人、其他组织</w:t>
            </w:r>
          </w:p>
        </w:tc>
        <w:tc>
          <w:tcPr>
            <w:tcW w:w="1561" w:type="dxa"/>
            <w:tcBorders>
              <w:top w:val="single" w:color="auto" w:sz="4" w:space="0"/>
              <w:bottom w:val="single" w:color="auto" w:sz="4" w:space="0"/>
            </w:tcBorders>
          </w:tcPr>
          <w:p>
            <w:pPr>
              <w:rPr>
                <w:rFonts w:cs="宋体" w:asciiTheme="minorEastAsia" w:hAnsiTheme="minorEastAsia" w:eastAsiaTheme="minorEastAsia"/>
                <w:kern w:val="0"/>
                <w:sz w:val="21"/>
                <w:szCs w:val="21"/>
              </w:rPr>
            </w:pPr>
            <w:r>
              <w:rPr>
                <w:rFonts w:hint="eastAsia" w:asciiTheme="minorEastAsia" w:hAnsiTheme="minorEastAsia" w:eastAsiaTheme="minorEastAsia" w:cstheme="minorEastAsia"/>
                <w:kern w:val="0"/>
                <w:sz w:val="21"/>
                <w:szCs w:val="21"/>
              </w:rPr>
              <w:t>专项检查</w:t>
            </w:r>
          </w:p>
        </w:tc>
        <w:tc>
          <w:tcPr>
            <w:tcW w:w="1843" w:type="dxa"/>
            <w:gridSpan w:val="2"/>
            <w:tcBorders>
              <w:top w:val="single" w:color="auto" w:sz="4" w:space="0"/>
              <w:bottom w:val="single" w:color="auto" w:sz="4" w:space="0"/>
            </w:tcBorders>
          </w:tcPr>
          <w:p>
            <w:pPr>
              <w:rPr>
                <w:rFonts w:cs="宋体" w:asciiTheme="minorEastAsia" w:hAnsiTheme="minorEastAsia" w:eastAsiaTheme="minorEastAsia"/>
                <w:kern w:val="0"/>
                <w:sz w:val="21"/>
                <w:szCs w:val="21"/>
              </w:rPr>
            </w:pPr>
            <w:r>
              <w:rPr>
                <w:rFonts w:hint="eastAsia" w:asciiTheme="minorEastAsia" w:hAnsiTheme="minorEastAsia" w:eastAsiaTheme="minorEastAsia" w:cstheme="minorEastAsia"/>
                <w:kern w:val="0"/>
                <w:sz w:val="21"/>
                <w:szCs w:val="21"/>
              </w:rPr>
              <w:t>重点监管</w:t>
            </w:r>
          </w:p>
        </w:tc>
        <w:tc>
          <w:tcPr>
            <w:tcW w:w="1419" w:type="dxa"/>
            <w:tcBorders>
              <w:top w:val="single" w:color="auto" w:sz="4" w:space="0"/>
              <w:bottom w:val="single" w:color="auto" w:sz="4" w:space="0"/>
            </w:tcBorders>
          </w:tcPr>
          <w:p>
            <w:pPr>
              <w:rPr>
                <w:rFonts w:cs="Times New Roman" w:asciiTheme="minorEastAsia" w:hAnsiTheme="minorEastAsia" w:eastAsiaTheme="minorEastAsia"/>
                <w:kern w:val="0"/>
                <w:sz w:val="21"/>
                <w:szCs w:val="21"/>
              </w:rPr>
            </w:pPr>
            <w:r>
              <w:rPr>
                <w:rFonts w:hint="eastAsia" w:asciiTheme="minorEastAsia" w:hAnsiTheme="minorEastAsia" w:eastAsiaTheme="minorEastAsia" w:cstheme="minorEastAsia"/>
                <w:kern w:val="0"/>
                <w:sz w:val="21"/>
                <w:szCs w:val="21"/>
              </w:rPr>
              <w:t>内乡县</w:t>
            </w:r>
            <w:r>
              <w:rPr>
                <w:rFonts w:hint="eastAsia" w:asciiTheme="minorEastAsia" w:hAnsiTheme="minorEastAsia" w:cstheme="minorEastAsia"/>
                <w:kern w:val="0"/>
                <w:sz w:val="21"/>
                <w:szCs w:val="21"/>
                <w:lang w:eastAsia="zh-CN"/>
              </w:rPr>
              <w:t>文化广电和旅游局</w:t>
            </w:r>
          </w:p>
        </w:tc>
        <w:tc>
          <w:tcPr>
            <w:tcW w:w="4850" w:type="dxa"/>
            <w:tcBorders>
              <w:top w:val="single" w:color="auto" w:sz="4" w:space="0"/>
              <w:bottom w:val="single" w:color="auto" w:sz="4" w:space="0"/>
            </w:tcBorders>
          </w:tcPr>
          <w:p>
            <w:pP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"《中华人民共和国文物保护法实施条例》第五十六条　违反本条例规定，未取得资质证书，擅自从事馆藏文物的修复、复制、拓印活动的，由文物行政主管部门责令停止违法活动；没收违法所得和从事违法活动的专用工具、设备；造成严重后果的，并处1万元以上10万元以下的罚款；构成犯罪的，依法追究刑事责任。</w:t>
            </w:r>
          </w:p>
          <w:p>
            <w:pP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w:t>
            </w:r>
          </w:p>
          <w:p>
            <w:pPr>
              <w:rPr>
                <w:rFonts w:cs="宋体" w:asciiTheme="minorEastAsia" w:hAnsiTheme="minorEastAsia" w:eastAsiaTheme="minorEastAsia"/>
                <w:kern w:val="0"/>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After w:val="1"/>
          <w:wAfter w:w="519" w:type="dxa"/>
          <w:trHeight w:val="434" w:hRule="atLeast"/>
        </w:trPr>
        <w:tc>
          <w:tcPr>
            <w:tcW w:w="667" w:type="dxa"/>
            <w:tcBorders>
              <w:top w:val="single" w:color="auto" w:sz="4" w:space="0"/>
              <w:bottom w:val="single" w:color="auto" w:sz="4" w:space="0"/>
            </w:tcBorders>
          </w:tcPr>
          <w:p>
            <w:pPr>
              <w:rPr>
                <w:rFonts w:hint="default" w:cs="宋体" w:asciiTheme="minorEastAsia" w:hAnsiTheme="minorEastAsia" w:eastAsiaTheme="minorEastAsia"/>
                <w:kern w:val="0"/>
                <w:sz w:val="21"/>
                <w:szCs w:val="21"/>
                <w:lang w:val="en-US" w:eastAsia="zh-CN"/>
              </w:rPr>
            </w:pPr>
            <w:r>
              <w:rPr>
                <w:rFonts w:hint="eastAsia" w:asciiTheme="minorEastAsia" w:hAnsiTheme="minorEastAsia" w:cstheme="minorEastAsia"/>
                <w:kern w:val="0"/>
                <w:sz w:val="21"/>
                <w:szCs w:val="21"/>
                <w:lang w:val="en-US" w:eastAsia="zh-CN"/>
              </w:rPr>
              <w:t>22</w:t>
            </w:r>
          </w:p>
        </w:tc>
        <w:tc>
          <w:tcPr>
            <w:tcW w:w="1138" w:type="dxa"/>
            <w:tcBorders>
              <w:top w:val="single" w:color="auto" w:sz="4" w:space="0"/>
              <w:bottom w:val="single" w:color="auto" w:sz="4" w:space="0"/>
              <w:right w:val="single" w:color="auto" w:sz="4" w:space="0"/>
            </w:tcBorders>
            <w:vAlign w:val="center"/>
          </w:tcPr>
          <w:p>
            <w:pPr>
              <w:widowControl/>
              <w:jc w:val="center"/>
              <w:textAlignment w:val="center"/>
              <w:rPr>
                <w:rFonts w:cs="Times New Roman" w:asciiTheme="minorEastAsia" w:hAnsiTheme="minorEastAsia" w:eastAsiaTheme="minorEastAsia"/>
                <w:kern w:val="0"/>
                <w:sz w:val="21"/>
                <w:szCs w:val="21"/>
              </w:rPr>
            </w:pPr>
            <w:r>
              <w:rPr>
                <w:rFonts w:hint="eastAsia" w:asciiTheme="minorEastAsia" w:hAnsiTheme="minorEastAsia" w:eastAsiaTheme="minorEastAsia" w:cstheme="minorEastAsia"/>
                <w:color w:val="000000"/>
                <w:kern w:val="0"/>
                <w:sz w:val="21"/>
                <w:szCs w:val="21"/>
              </w:rPr>
              <w:t>对馆藏文物修复、复制、拓印活动的监管</w:t>
            </w:r>
          </w:p>
        </w:tc>
        <w:tc>
          <w:tcPr>
            <w:tcW w:w="995" w:type="dxa"/>
            <w:tcBorders>
              <w:top w:val="single" w:color="auto" w:sz="4" w:space="0"/>
              <w:left w:val="single" w:color="auto" w:sz="4" w:space="0"/>
              <w:bottom w:val="single" w:color="auto" w:sz="4" w:space="0"/>
            </w:tcBorders>
            <w:vAlign w:val="center"/>
          </w:tcPr>
          <w:p>
            <w:pPr>
              <w:widowControl/>
              <w:jc w:val="center"/>
              <w:textAlignment w:val="center"/>
              <w:rPr>
                <w:rFonts w:cs="Times New Roman" w:asciiTheme="minorEastAsia" w:hAnsiTheme="minorEastAsia" w:eastAsiaTheme="minorEastAsia"/>
                <w:kern w:val="0"/>
                <w:sz w:val="21"/>
                <w:szCs w:val="21"/>
              </w:rPr>
            </w:pPr>
            <w:r>
              <w:rPr>
                <w:rFonts w:hint="eastAsia" w:asciiTheme="minorEastAsia" w:hAnsiTheme="minorEastAsia" w:eastAsiaTheme="minorEastAsia" w:cstheme="minorEastAsia"/>
                <w:color w:val="000000"/>
                <w:kern w:val="0"/>
                <w:sz w:val="21"/>
                <w:szCs w:val="21"/>
              </w:rPr>
              <w:t>对擅自修复、复制、拓印馆藏珍贵文物行为的行政调查</w:t>
            </w:r>
          </w:p>
        </w:tc>
        <w:tc>
          <w:tcPr>
            <w:tcW w:w="1701" w:type="dxa"/>
            <w:tcBorders>
              <w:top w:val="single" w:color="auto" w:sz="4" w:space="0"/>
              <w:bottom w:val="single" w:color="auto" w:sz="4" w:space="0"/>
            </w:tcBorders>
            <w:vAlign w:val="center"/>
          </w:tcPr>
          <w:p>
            <w:pPr>
              <w:widowControl/>
              <w:jc w:val="center"/>
              <w:textAlignment w:val="center"/>
              <w:rPr>
                <w:rFonts w:cs="Times New Roman" w:asciiTheme="minorEastAsia" w:hAnsiTheme="minorEastAsia" w:eastAsiaTheme="minorEastAsia"/>
                <w:kern w:val="0"/>
                <w:sz w:val="21"/>
                <w:szCs w:val="21"/>
              </w:rPr>
            </w:pPr>
            <w:r>
              <w:rPr>
                <w:rFonts w:hint="eastAsia" w:asciiTheme="minorEastAsia" w:hAnsiTheme="minorEastAsia" w:eastAsiaTheme="minorEastAsia" w:cstheme="minorEastAsia"/>
                <w:color w:val="000000"/>
                <w:kern w:val="0"/>
                <w:sz w:val="21"/>
                <w:szCs w:val="21"/>
              </w:rPr>
              <w:t>自然人、法人、其他组织</w:t>
            </w:r>
          </w:p>
        </w:tc>
        <w:tc>
          <w:tcPr>
            <w:tcW w:w="1561" w:type="dxa"/>
            <w:tcBorders>
              <w:top w:val="single" w:color="auto" w:sz="4" w:space="0"/>
              <w:bottom w:val="single" w:color="auto" w:sz="4" w:space="0"/>
            </w:tcBorders>
          </w:tcPr>
          <w:p>
            <w:pPr>
              <w:rPr>
                <w:rFonts w:cs="宋体" w:asciiTheme="minorEastAsia" w:hAnsiTheme="minorEastAsia" w:eastAsiaTheme="minorEastAsia"/>
                <w:kern w:val="0"/>
                <w:sz w:val="21"/>
                <w:szCs w:val="21"/>
              </w:rPr>
            </w:pPr>
            <w:r>
              <w:rPr>
                <w:rFonts w:hint="eastAsia" w:asciiTheme="minorEastAsia" w:hAnsiTheme="minorEastAsia" w:eastAsiaTheme="minorEastAsia" w:cstheme="minorEastAsia"/>
                <w:kern w:val="0"/>
                <w:sz w:val="21"/>
                <w:szCs w:val="21"/>
              </w:rPr>
              <w:t>专项检查</w:t>
            </w:r>
          </w:p>
        </w:tc>
        <w:tc>
          <w:tcPr>
            <w:tcW w:w="1843" w:type="dxa"/>
            <w:gridSpan w:val="2"/>
            <w:tcBorders>
              <w:top w:val="single" w:color="auto" w:sz="4" w:space="0"/>
              <w:bottom w:val="single" w:color="auto" w:sz="4" w:space="0"/>
            </w:tcBorders>
          </w:tcPr>
          <w:p>
            <w:pPr>
              <w:rPr>
                <w:rFonts w:cs="宋体" w:asciiTheme="minorEastAsia" w:hAnsiTheme="minorEastAsia" w:eastAsiaTheme="minorEastAsia"/>
                <w:kern w:val="0"/>
                <w:sz w:val="21"/>
                <w:szCs w:val="21"/>
              </w:rPr>
            </w:pPr>
            <w:r>
              <w:rPr>
                <w:rFonts w:hint="eastAsia" w:asciiTheme="minorEastAsia" w:hAnsiTheme="minorEastAsia" w:cstheme="minorEastAsia"/>
                <w:kern w:val="0"/>
                <w:sz w:val="21"/>
                <w:szCs w:val="21"/>
                <w:lang w:eastAsia="zh-CN"/>
              </w:rPr>
              <w:t>重点监管</w:t>
            </w:r>
          </w:p>
        </w:tc>
        <w:tc>
          <w:tcPr>
            <w:tcW w:w="1419" w:type="dxa"/>
            <w:tcBorders>
              <w:top w:val="single" w:color="auto" w:sz="4" w:space="0"/>
              <w:bottom w:val="single" w:color="auto" w:sz="4" w:space="0"/>
            </w:tcBorders>
          </w:tcPr>
          <w:p>
            <w:pPr>
              <w:rPr>
                <w:rFonts w:cs="Times New Roman" w:asciiTheme="minorEastAsia" w:hAnsiTheme="minorEastAsia" w:eastAsiaTheme="minorEastAsia"/>
                <w:kern w:val="0"/>
                <w:sz w:val="21"/>
                <w:szCs w:val="21"/>
              </w:rPr>
            </w:pPr>
            <w:r>
              <w:rPr>
                <w:rFonts w:hint="eastAsia" w:asciiTheme="minorEastAsia" w:hAnsiTheme="minorEastAsia" w:eastAsiaTheme="minorEastAsia" w:cstheme="minorEastAsia"/>
                <w:kern w:val="0"/>
                <w:sz w:val="21"/>
                <w:szCs w:val="21"/>
              </w:rPr>
              <w:t>内乡县</w:t>
            </w:r>
            <w:r>
              <w:rPr>
                <w:rFonts w:hint="eastAsia" w:asciiTheme="minorEastAsia" w:hAnsiTheme="minorEastAsia" w:cstheme="minorEastAsia"/>
                <w:kern w:val="0"/>
                <w:sz w:val="21"/>
                <w:szCs w:val="21"/>
                <w:lang w:eastAsia="zh-CN"/>
              </w:rPr>
              <w:t>文化广电和旅游局</w:t>
            </w:r>
          </w:p>
        </w:tc>
        <w:tc>
          <w:tcPr>
            <w:tcW w:w="4850" w:type="dxa"/>
            <w:tcBorders>
              <w:top w:val="single" w:color="auto" w:sz="4" w:space="0"/>
              <w:bottom w:val="single" w:color="auto" w:sz="4" w:space="0"/>
            </w:tcBorders>
          </w:tcPr>
          <w:p>
            <w:pP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《中华人民共和国文物保护法实施条例》第五十八条　违反本条例规定，未经批准擅自修复、复制、拓印馆藏珍贵文物的，由文物行政主管部门给予警告；造成严重后果的，处2000元以上2万元以下的罚款；对负有责任的主管人员和其他直接责任人员依法给予行政处分。</w:t>
            </w:r>
          </w:p>
          <w:p>
            <w:pP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文物收藏单位违反本条例规定，未在规定期限内将文物拍摄情况向文物行政主管部门报告的，由文物行政主管部门责令限期改正；逾期不改正的，对负有责任的主管人员和其他直接责任人员依法给予行政处分。</w:t>
            </w:r>
          </w:p>
          <w:p>
            <w:pPr>
              <w:rPr>
                <w:rFonts w:cs="宋体" w:asciiTheme="minorEastAsia" w:hAnsiTheme="minorEastAsia" w:eastAsiaTheme="minorEastAsia"/>
                <w:kern w:val="0"/>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After w:val="1"/>
          <w:wAfter w:w="519" w:type="dxa"/>
          <w:trHeight w:val="407" w:hRule="atLeast"/>
        </w:trPr>
        <w:tc>
          <w:tcPr>
            <w:tcW w:w="667" w:type="dxa"/>
            <w:tcBorders>
              <w:top w:val="single" w:color="auto" w:sz="4" w:space="0"/>
              <w:bottom w:val="single" w:color="auto" w:sz="4" w:space="0"/>
            </w:tcBorders>
          </w:tcPr>
          <w:p>
            <w:pPr>
              <w:rPr>
                <w:rFonts w:hint="default" w:cs="宋体" w:asciiTheme="minorEastAsia" w:hAnsiTheme="minorEastAsia" w:eastAsiaTheme="minorEastAsia"/>
                <w:kern w:val="0"/>
                <w:sz w:val="21"/>
                <w:szCs w:val="21"/>
                <w:lang w:val="en-US" w:eastAsia="zh-CN"/>
              </w:rPr>
            </w:pPr>
            <w:r>
              <w:rPr>
                <w:rFonts w:hint="eastAsia" w:asciiTheme="minorEastAsia" w:hAnsiTheme="minorEastAsia" w:cstheme="minorEastAsia"/>
                <w:kern w:val="0"/>
                <w:sz w:val="21"/>
                <w:szCs w:val="21"/>
                <w:lang w:val="en-US" w:eastAsia="zh-CN"/>
              </w:rPr>
              <w:t>23</w:t>
            </w:r>
          </w:p>
        </w:tc>
        <w:tc>
          <w:tcPr>
            <w:tcW w:w="1138" w:type="dxa"/>
            <w:tcBorders>
              <w:top w:val="single" w:color="auto" w:sz="4" w:space="0"/>
              <w:bottom w:val="single" w:color="auto" w:sz="4" w:space="0"/>
              <w:right w:val="single" w:color="auto" w:sz="4" w:space="0"/>
            </w:tcBorders>
            <w:vAlign w:val="center"/>
          </w:tcPr>
          <w:p>
            <w:pPr>
              <w:widowControl/>
              <w:jc w:val="center"/>
              <w:textAlignment w:val="center"/>
              <w:rPr>
                <w:rFonts w:cs="Times New Roman" w:asciiTheme="minorEastAsia" w:hAnsiTheme="minorEastAsia" w:eastAsiaTheme="minorEastAsia"/>
                <w:kern w:val="0"/>
                <w:sz w:val="21"/>
                <w:szCs w:val="21"/>
              </w:rPr>
            </w:pPr>
            <w:r>
              <w:rPr>
                <w:rFonts w:hint="eastAsia" w:asciiTheme="minorEastAsia" w:hAnsiTheme="minorEastAsia" w:eastAsiaTheme="minorEastAsia" w:cstheme="minorEastAsia"/>
                <w:color w:val="000000"/>
                <w:kern w:val="0"/>
                <w:sz w:val="21"/>
                <w:szCs w:val="21"/>
              </w:rPr>
              <w:t>对施工单位文物保护工程资质的监管</w:t>
            </w:r>
          </w:p>
        </w:tc>
        <w:tc>
          <w:tcPr>
            <w:tcW w:w="995" w:type="dxa"/>
            <w:tcBorders>
              <w:top w:val="single" w:color="auto" w:sz="4" w:space="0"/>
              <w:left w:val="single" w:color="auto" w:sz="4" w:space="0"/>
              <w:bottom w:val="single" w:color="auto" w:sz="4" w:space="0"/>
            </w:tcBorders>
            <w:vAlign w:val="center"/>
          </w:tcPr>
          <w:p>
            <w:pPr>
              <w:widowControl/>
              <w:jc w:val="center"/>
              <w:textAlignment w:val="center"/>
              <w:rPr>
                <w:rFonts w:cs="Times New Roman" w:asciiTheme="minorEastAsia" w:hAnsiTheme="minorEastAsia" w:eastAsiaTheme="minorEastAsia"/>
                <w:kern w:val="0"/>
                <w:sz w:val="21"/>
                <w:szCs w:val="21"/>
              </w:rPr>
            </w:pPr>
            <w:r>
              <w:rPr>
                <w:rFonts w:hint="eastAsia" w:asciiTheme="minorEastAsia" w:hAnsiTheme="minorEastAsia" w:eastAsiaTheme="minorEastAsia" w:cstheme="minorEastAsia"/>
                <w:color w:val="000000"/>
                <w:kern w:val="0"/>
                <w:sz w:val="21"/>
                <w:szCs w:val="21"/>
              </w:rPr>
              <w:t>对未取得相应等级的文物保护工程资质证书，擅自承担文物保护单位的修缮、迁移、重建工程逾期不改正，或者造成严重后果行为的行政检查</w:t>
            </w:r>
          </w:p>
        </w:tc>
        <w:tc>
          <w:tcPr>
            <w:tcW w:w="1701" w:type="dxa"/>
            <w:tcBorders>
              <w:top w:val="single" w:color="auto" w:sz="4" w:space="0"/>
              <w:bottom w:val="single" w:color="auto" w:sz="4" w:space="0"/>
            </w:tcBorders>
            <w:vAlign w:val="center"/>
          </w:tcPr>
          <w:p>
            <w:pPr>
              <w:widowControl/>
              <w:jc w:val="center"/>
              <w:textAlignment w:val="center"/>
              <w:rPr>
                <w:rFonts w:cs="Times New Roman" w:asciiTheme="minorEastAsia" w:hAnsiTheme="minorEastAsia" w:eastAsiaTheme="minorEastAsia"/>
                <w:kern w:val="0"/>
                <w:sz w:val="21"/>
                <w:szCs w:val="21"/>
              </w:rPr>
            </w:pPr>
            <w:r>
              <w:rPr>
                <w:rFonts w:hint="eastAsia" w:asciiTheme="minorEastAsia" w:hAnsiTheme="minorEastAsia" w:eastAsiaTheme="minorEastAsia" w:cstheme="minorEastAsia"/>
                <w:color w:val="000000"/>
                <w:kern w:val="0"/>
                <w:sz w:val="21"/>
                <w:szCs w:val="21"/>
              </w:rPr>
              <w:t>自然人、法人、其他组织</w:t>
            </w:r>
          </w:p>
        </w:tc>
        <w:tc>
          <w:tcPr>
            <w:tcW w:w="1561" w:type="dxa"/>
            <w:tcBorders>
              <w:top w:val="single" w:color="auto" w:sz="4" w:space="0"/>
              <w:bottom w:val="single" w:color="auto" w:sz="4" w:space="0"/>
            </w:tcBorders>
          </w:tcPr>
          <w:p>
            <w:pPr>
              <w:rPr>
                <w:rFonts w:cs="宋体" w:asciiTheme="minorEastAsia" w:hAnsiTheme="minorEastAsia" w:eastAsiaTheme="minorEastAsia"/>
                <w:kern w:val="0"/>
                <w:sz w:val="21"/>
                <w:szCs w:val="21"/>
              </w:rPr>
            </w:pPr>
            <w:r>
              <w:rPr>
                <w:rFonts w:hint="eastAsia" w:asciiTheme="minorEastAsia" w:hAnsiTheme="minorEastAsia" w:eastAsiaTheme="minorEastAsia" w:cstheme="minorEastAsia"/>
                <w:kern w:val="0"/>
                <w:sz w:val="21"/>
                <w:szCs w:val="21"/>
              </w:rPr>
              <w:t>专项检查</w:t>
            </w:r>
          </w:p>
        </w:tc>
        <w:tc>
          <w:tcPr>
            <w:tcW w:w="1843" w:type="dxa"/>
            <w:gridSpan w:val="2"/>
            <w:tcBorders>
              <w:top w:val="single" w:color="auto" w:sz="4" w:space="0"/>
              <w:bottom w:val="single" w:color="auto" w:sz="4" w:space="0"/>
            </w:tcBorders>
          </w:tcPr>
          <w:p>
            <w:pPr>
              <w:rPr>
                <w:rFonts w:cs="宋体" w:asciiTheme="minorEastAsia" w:hAnsiTheme="minorEastAsia" w:eastAsiaTheme="minorEastAsia"/>
                <w:kern w:val="0"/>
                <w:sz w:val="21"/>
                <w:szCs w:val="21"/>
              </w:rPr>
            </w:pPr>
            <w:r>
              <w:rPr>
                <w:rFonts w:hint="eastAsia" w:asciiTheme="minorEastAsia" w:hAnsiTheme="minorEastAsia" w:eastAsiaTheme="minorEastAsia" w:cstheme="minorEastAsia"/>
                <w:kern w:val="0"/>
                <w:sz w:val="21"/>
                <w:szCs w:val="21"/>
              </w:rPr>
              <w:t>重点监管</w:t>
            </w:r>
          </w:p>
        </w:tc>
        <w:tc>
          <w:tcPr>
            <w:tcW w:w="1419" w:type="dxa"/>
            <w:tcBorders>
              <w:top w:val="single" w:color="auto" w:sz="4" w:space="0"/>
              <w:bottom w:val="single" w:color="auto" w:sz="4" w:space="0"/>
            </w:tcBorders>
          </w:tcPr>
          <w:p>
            <w:pPr>
              <w:rPr>
                <w:rFonts w:cs="Times New Roman" w:asciiTheme="minorEastAsia" w:hAnsiTheme="minorEastAsia" w:eastAsiaTheme="minorEastAsia"/>
                <w:kern w:val="0"/>
                <w:sz w:val="21"/>
                <w:szCs w:val="21"/>
              </w:rPr>
            </w:pPr>
            <w:r>
              <w:rPr>
                <w:rFonts w:hint="eastAsia" w:asciiTheme="minorEastAsia" w:hAnsiTheme="minorEastAsia" w:eastAsiaTheme="minorEastAsia" w:cstheme="minorEastAsia"/>
                <w:kern w:val="0"/>
                <w:sz w:val="21"/>
                <w:szCs w:val="21"/>
              </w:rPr>
              <w:t>内乡县</w:t>
            </w:r>
            <w:r>
              <w:rPr>
                <w:rFonts w:hint="eastAsia" w:asciiTheme="minorEastAsia" w:hAnsiTheme="minorEastAsia" w:cstheme="minorEastAsia"/>
                <w:kern w:val="0"/>
                <w:sz w:val="21"/>
                <w:szCs w:val="21"/>
                <w:lang w:eastAsia="zh-CN"/>
              </w:rPr>
              <w:t>文化广电和旅游局</w:t>
            </w:r>
          </w:p>
        </w:tc>
        <w:tc>
          <w:tcPr>
            <w:tcW w:w="4850" w:type="dxa"/>
            <w:tcBorders>
              <w:top w:val="single" w:color="auto" w:sz="4" w:space="0"/>
              <w:bottom w:val="single" w:color="auto" w:sz="4" w:space="0"/>
            </w:tcBorders>
          </w:tcPr>
          <w:p>
            <w:pPr>
              <w:rPr>
                <w:rFonts w:cs="宋体" w:asciiTheme="minorEastAsia" w:hAnsiTheme="minorEastAsia" w:eastAsiaTheme="minorEastAsia"/>
                <w:kern w:val="0"/>
                <w:sz w:val="21"/>
                <w:szCs w:val="21"/>
              </w:rPr>
            </w:pPr>
            <w:r>
              <w:rPr>
                <w:rFonts w:hint="eastAsia" w:asciiTheme="minorEastAsia" w:hAnsiTheme="minorEastAsia" w:eastAsiaTheme="minorEastAsia" w:cstheme="minorEastAsia"/>
                <w:kern w:val="0"/>
                <w:sz w:val="21"/>
                <w:szCs w:val="21"/>
              </w:rPr>
              <w:t>《中华人民共和国文物保护法实施条例》第五十五条　违反本条例规定，未取得相应等级的文物保护工程资质证书，擅自承担文物保护单位的修缮、迁移、重建工程的，由文物行政主管部门责令限期改正；逾期不改正，或者造成严重后果的，处5万元以上50万元以下的罚款；构成犯罪的，依法追究刑事责任。</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9C5415"/>
    <w:rsid w:val="3EB1477E"/>
    <w:rsid w:val="639C5415"/>
    <w:rsid w:val="762564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59"/>
    <w:rPr>
      <w:rFonts w:ascii="Times New Roman" w:hAnsi="Times New Roman" w:eastAsia="宋体" w:cs="Times New Roman"/>
      <w:kern w:val="0"/>
      <w:sz w:val="20"/>
      <w:szCs w:val="20"/>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2020-05-09T10:18:00Z</dcterms:created>
  <dc:creator>Administrator</dc:creator>
  <cp:lastModifiedBy>Administrator</cp:lastModifiedBy>
  <cp:lastPrinted>2020-05-11T00:00:21Z</cp:lastPrinted>
  <dcterms:modified xsi:type="dcterms:W3CDTF">2020-05-11T00:02:16Z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