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20</w:t>
      </w:r>
      <w:r>
        <w:rPr>
          <w:rFonts w:hint="eastAsia" w:ascii="Arial" w:hAnsi="Arial" w:cs="Arial"/>
          <w:b/>
          <w:bCs/>
          <w:color w:val="000000"/>
          <w:sz w:val="44"/>
          <w:szCs w:val="44"/>
        </w:rPr>
        <w:t>20</w:t>
      </w:r>
      <w:r>
        <w:rPr>
          <w:rFonts w:ascii="Arial" w:hAnsi="Arial" w:eastAsia="宋体" w:cs="Arial"/>
          <w:b/>
          <w:bCs/>
          <w:color w:val="000000"/>
          <w:sz w:val="44"/>
          <w:szCs w:val="44"/>
        </w:rPr>
        <w:t>年政府预算公开补充资料</w:t>
      </w:r>
    </w:p>
    <w:p>
      <w:pPr>
        <w:adjustRightInd/>
        <w:snapToGrid/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一、转移支付情况说明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全县财力收入为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333379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万元，其中县本级财力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312379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万元，乡级财力2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000万元。财力分项构成如下（税收返还和转移支付）：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（1）一般预算收入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129800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（2）返还性收入9305万元；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其中：增消两税税收返还2931万元</w:t>
      </w:r>
    </w:p>
    <w:p>
      <w:pPr>
        <w:adjustRightInd/>
        <w:snapToGrid/>
        <w:spacing w:after="0" w:line="640" w:lineRule="exact"/>
        <w:ind w:firstLine="1500" w:firstLineChars="5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所得税基数返还531万元</w:t>
      </w:r>
    </w:p>
    <w:p>
      <w:pPr>
        <w:adjustRightInd/>
        <w:snapToGrid/>
        <w:spacing w:after="0" w:line="640" w:lineRule="exact"/>
        <w:ind w:firstLine="1500" w:firstLineChars="5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实施增值税收入划分税收返还5214万元</w:t>
      </w:r>
    </w:p>
    <w:p>
      <w:pPr>
        <w:adjustRightInd/>
        <w:snapToGrid/>
        <w:spacing w:after="0" w:line="640" w:lineRule="exact"/>
        <w:ind w:firstLine="1500" w:firstLineChars="5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成品油价格和税费改革税收返还收入585万元</w:t>
      </w:r>
    </w:p>
    <w:p>
      <w:pPr>
        <w:adjustRightInd/>
        <w:snapToGrid/>
        <w:spacing w:after="0" w:line="640" w:lineRule="exact"/>
        <w:ind w:firstLine="1500" w:firstLineChars="5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其他返还性收入（公安交通管理）44万元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（3）均衡性转移支付收入6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2014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（4）重点生态功能区转移支付收入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15606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（5）固定数额补助收入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16578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（6）成品油价格和税费改革转移支付收入68万元；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（7）贫困地区转移支付收入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5524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（8）基本养老保险转移支付收入11756万元；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（9）城乡居民基本医疗保险转移支付收入18692万元；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（10）产粮（油）大县奖励资金收入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2116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（11）各项结算补助收入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487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（12）教育共同财政事权转移支付收入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22078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（13）卫生健康共同财政事权转移支付收入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30656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（14）公共安全共同财政事权转移支付收入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1380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（15）住房保障共同财政事权转移支付收入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788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750" w:firstLineChars="25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 xml:space="preserve"> (16)  节能环保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共同财政事权转移支付收入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727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7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）社会保障和就业共同财政事权支付收入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26287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（18）农林水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共同财政事权支付收入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18148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（19）文化旅游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共同财政事权支付收入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329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（20）其他一般性转移支付200万元；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（21）新增债券5000万元；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（22）上年结余收入2383万元；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23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）动用预算稳定调节基金2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396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（18）上解支出17449万元。</w:t>
      </w:r>
    </w:p>
    <w:p>
      <w:pPr>
        <w:adjustRightInd/>
        <w:snapToGrid/>
        <w:spacing w:after="0" w:line="6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县本级公共财政支出安排总体情况：20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年县本级支出累计安排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312379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 xml:space="preserve">万元。基本支出 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 xml:space="preserve">  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万元，项目支出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 xml:space="preserve">   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万元，预备费3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800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万元，债务还本付息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5209.9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万元。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二、三公经费预算安排情况说明</w:t>
      </w:r>
    </w:p>
    <w:p>
      <w:pPr>
        <w:kinsoku w:val="0"/>
        <w:overflowPunct w:val="0"/>
        <w:adjustRightInd/>
        <w:snapToGrid/>
        <w:spacing w:after="0" w:line="540" w:lineRule="exact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各部门20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年“三公”经费预算按不高于201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 xml:space="preserve">年支出控制数编制，安排 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2371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 xml:space="preserve">万元，较去年下降 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1.2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 xml:space="preserve"> %，原因为各部门厉行节约，减少铺张浪费，从严控制公务接待活动。</w:t>
      </w:r>
    </w:p>
    <w:p>
      <w:pPr>
        <w:kinsoku w:val="0"/>
        <w:overflowPunct w:val="0"/>
        <w:adjustRightInd/>
        <w:snapToGrid/>
        <w:spacing w:after="0" w:line="540" w:lineRule="exact"/>
        <w:ind w:firstLine="450" w:firstLineChars="15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其中：公务接待费11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24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 xml:space="preserve"> 万元较去年下降1.4%，原因为从严控制公务接待活动。因公出国（境）经费没有安排预算，较上年持平；公车购置费 30万元，公车运行费 12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17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万元，较上年下降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1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%，原因为各部门厉行节约。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三、举借债务情况说明</w:t>
      </w:r>
    </w:p>
    <w:p>
      <w:pPr>
        <w:adjustRightInd/>
        <w:snapToGrid/>
        <w:spacing w:after="0" w:line="600" w:lineRule="exact"/>
        <w:ind w:firstLine="645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（1）截止201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年末内乡县地方政府性债务余额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309706.65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万元，其中：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1、政府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eastAsia="zh-CN"/>
        </w:rPr>
        <w:t>债务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309706.65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2、无政府负有担保责任的债务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；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3、政府可能承担一定救助责任的债务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6407.74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万元；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严格落实地方政府债务限额管理，上级财政部门公布我县201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  <w:t>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年债务限额为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32.81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亿元，政府债务严格控制在限额以内，风险整体可控，债务结构比较健康。</w:t>
      </w:r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19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年地方政府债券（含再融资债券）发行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82600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万元，其中一般债券为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22400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万元，专项债券为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60200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万元。还本付息为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26511.79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万元，其中一般债券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18521.74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万元，专项债券</w:t>
      </w:r>
      <w:r>
        <w:rPr>
          <w:rFonts w:hint="eastAsia" w:cs="Arial" w:asciiTheme="minorEastAsia" w:hAnsiTheme="minorEastAsia" w:eastAsiaTheme="minorEastAsia"/>
          <w:color w:val="000000"/>
          <w:sz w:val="30"/>
          <w:szCs w:val="30"/>
          <w:lang w:val="en-US" w:eastAsia="zh-CN"/>
        </w:rPr>
        <w:t>7990.23</w:t>
      </w: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万元。</w:t>
      </w:r>
    </w:p>
    <w:p>
      <w:pPr>
        <w:adjustRightInd/>
        <w:snapToGrid/>
        <w:spacing w:after="0"/>
        <w:ind w:firstLine="600" w:firstLineChars="200"/>
        <w:jc w:val="both"/>
        <w:rPr>
          <w:rFonts w:hint="eastAsia" w:cs="Arial" w:asciiTheme="minorEastAsia" w:hAnsiTheme="minorEastAsia" w:eastAsiaTheme="minorEastAsia"/>
          <w:color w:val="000000"/>
          <w:sz w:val="30"/>
          <w:szCs w:val="30"/>
        </w:rPr>
      </w:pPr>
      <w:bookmarkStart w:id="0" w:name="_GoBack"/>
      <w:bookmarkEnd w:id="0"/>
    </w:p>
    <w:p>
      <w:pPr>
        <w:adjustRightInd/>
        <w:snapToGrid/>
        <w:spacing w:after="0"/>
        <w:ind w:firstLine="600" w:firstLineChars="200"/>
        <w:jc w:val="both"/>
        <w:rPr>
          <w:rFonts w:cs="Arial" w:asciiTheme="minorEastAsia" w:hAnsiTheme="minorEastAsia" w:eastAsiaTheme="minorEastAsia"/>
          <w:color w:val="000000"/>
          <w:sz w:val="30"/>
          <w:szCs w:val="30"/>
        </w:rPr>
      </w:pPr>
      <w:r>
        <w:rPr>
          <w:rFonts w:cs="Arial" w:asciiTheme="minorEastAsia" w:hAnsiTheme="minorEastAsia" w:eastAsiaTheme="minorEastAsia"/>
          <w:color w:val="000000"/>
          <w:sz w:val="30"/>
          <w:szCs w:val="30"/>
        </w:rPr>
        <w:t>四、预算绩效工作开展情况说明</w:t>
      </w:r>
    </w:p>
    <w:p>
      <w:pPr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全面贯彻</w:t>
      </w:r>
      <w:r>
        <w:rPr>
          <w:rFonts w:asciiTheme="minorEastAsia" w:hAnsiTheme="minorEastAsia" w:eastAsiaTheme="minorEastAsia"/>
          <w:sz w:val="30"/>
          <w:szCs w:val="30"/>
        </w:rPr>
        <w:t>落实《</w:t>
      </w:r>
      <w:r>
        <w:rPr>
          <w:rFonts w:hint="eastAsia" w:asciiTheme="minorEastAsia" w:hAnsiTheme="minorEastAsia" w:eastAsiaTheme="minorEastAsia"/>
          <w:sz w:val="30"/>
          <w:szCs w:val="30"/>
        </w:rPr>
        <w:t>中共中央、国务院关于全面实施预算绩效管理的意见</w:t>
      </w:r>
      <w:r>
        <w:rPr>
          <w:rFonts w:asciiTheme="minorEastAsia" w:hAnsiTheme="minorEastAsia" w:eastAsiaTheme="minorEastAsia"/>
          <w:sz w:val="30"/>
          <w:szCs w:val="30"/>
        </w:rPr>
        <w:t>》</w:t>
      </w:r>
      <w:r>
        <w:rPr>
          <w:rFonts w:hint="eastAsia" w:asciiTheme="minorEastAsia" w:hAnsiTheme="minorEastAsia" w:eastAsiaTheme="minorEastAsia"/>
          <w:sz w:val="30"/>
          <w:szCs w:val="30"/>
        </w:rPr>
        <w:t>、</w:t>
      </w:r>
      <w:r>
        <w:rPr>
          <w:rFonts w:asciiTheme="minorEastAsia" w:hAnsiTheme="minorEastAsia" w:eastAsiaTheme="minorEastAsia"/>
          <w:sz w:val="30"/>
          <w:szCs w:val="30"/>
        </w:rPr>
        <w:t>《</w:t>
      </w:r>
      <w:r>
        <w:rPr>
          <w:rFonts w:hint="eastAsia" w:asciiTheme="minorEastAsia" w:hAnsiTheme="minorEastAsia" w:eastAsiaTheme="minorEastAsia"/>
          <w:sz w:val="30"/>
          <w:szCs w:val="30"/>
        </w:rPr>
        <w:t>中共</w:t>
      </w:r>
      <w:r>
        <w:rPr>
          <w:rFonts w:asciiTheme="minorEastAsia" w:hAnsiTheme="minorEastAsia" w:eastAsiaTheme="minorEastAsia"/>
          <w:sz w:val="30"/>
          <w:szCs w:val="30"/>
        </w:rPr>
        <w:t>河南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省委 </w:t>
      </w:r>
      <w:r>
        <w:rPr>
          <w:rFonts w:asciiTheme="minorEastAsia" w:hAnsiTheme="minorEastAsia" w:eastAsiaTheme="minorEastAsia"/>
          <w:sz w:val="30"/>
          <w:szCs w:val="30"/>
        </w:rPr>
        <w:t>河南省人民政府关于全面实施预算绩效管理的实施意见》</w:t>
      </w:r>
      <w:r>
        <w:rPr>
          <w:rFonts w:hint="eastAsia" w:asciiTheme="minorEastAsia" w:hAnsiTheme="minorEastAsia" w:eastAsiaTheme="minorEastAsia"/>
          <w:sz w:val="30"/>
          <w:szCs w:val="30"/>
        </w:rPr>
        <w:t>，各部门要编制预算时要按照“谁申请资金、谁设置目标”的原则，全面设置部门和单位整体绩效目标、政策及项目绩效目标。绩效目标不仅要包括产出、成本，还要包括经济效益、社会效益、生态效益、可持续影响和服务对象满意度等绩效指标，应当内容完整、指向明确、合理可行，与工作计划和预算资金相匹配，能清晰反映预算资金的预期产出和效果，并通过相应的绩效指标细化、量化描述。强化对重点项目绩效评价结果应用，对项目绩效评价得分不高的，要按一定比例压减预算规模和调整项目安排；对项目绩效评价不合格的，一律不予安排。同时要认真填报项目具体实施计划和季度支出进度计划，提高资金配置和使用效益，确保达到预期目标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 w:val="0"/>
        <w:adjustRightInd/>
        <w:snapToGrid/>
        <w:spacing w:after="0" w:line="620" w:lineRule="exact"/>
        <w:ind w:firstLine="440" w:firstLineChars="200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15E76"/>
    <w:rsid w:val="002F4306"/>
    <w:rsid w:val="00323B43"/>
    <w:rsid w:val="00324655"/>
    <w:rsid w:val="003D37D8"/>
    <w:rsid w:val="003F23F7"/>
    <w:rsid w:val="00426133"/>
    <w:rsid w:val="004358AB"/>
    <w:rsid w:val="0049653F"/>
    <w:rsid w:val="00594BE6"/>
    <w:rsid w:val="00755478"/>
    <w:rsid w:val="007E5923"/>
    <w:rsid w:val="008B7726"/>
    <w:rsid w:val="00942CAE"/>
    <w:rsid w:val="00C43B7E"/>
    <w:rsid w:val="00CC6A57"/>
    <w:rsid w:val="00D31D50"/>
    <w:rsid w:val="00D95A1C"/>
    <w:rsid w:val="00F22AF6"/>
    <w:rsid w:val="17DB0FDD"/>
    <w:rsid w:val="602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1438</Characters>
  <Lines>11</Lines>
  <Paragraphs>3</Paragraphs>
  <TotalTime>1</TotalTime>
  <ScaleCrop>false</ScaleCrop>
  <LinksUpToDate>false</LinksUpToDate>
  <CharactersWithSpaces>1687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2020-11-16T10:12:02Z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