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shd w:val="clear" w:fill="FFFFFF"/>
        </w:rPr>
        <w:t>20</w:t>
      </w:r>
      <w:r>
        <w:rPr>
          <w:rFonts w:hint="eastAsia" w:ascii="微软雅黑" w:hAnsi="微软雅黑" w:eastAsia="微软雅黑" w:cs="微软雅黑"/>
          <w:i w:val="0"/>
          <w:iCs w:val="0"/>
          <w:caps w:val="0"/>
          <w:color w:val="333333"/>
          <w:spacing w:val="0"/>
          <w:sz w:val="36"/>
          <w:szCs w:val="36"/>
          <w:shd w:val="clear" w:fill="FFFFFF"/>
          <w:lang w:val="en-US" w:eastAsia="zh-CN"/>
        </w:rPr>
        <w:t>20</w:t>
      </w:r>
      <w:r>
        <w:rPr>
          <w:rFonts w:hint="eastAsia" w:ascii="微软雅黑" w:hAnsi="微软雅黑" w:eastAsia="微软雅黑" w:cs="微软雅黑"/>
          <w:i w:val="0"/>
          <w:iCs w:val="0"/>
          <w:caps w:val="0"/>
          <w:color w:val="333333"/>
          <w:spacing w:val="0"/>
          <w:sz w:val="36"/>
          <w:szCs w:val="36"/>
          <w:shd w:val="clear" w:fill="FFFFFF"/>
        </w:rPr>
        <w:t>年内乡县农业农村局部门预算公开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56"/>
          <w:szCs w:val="56"/>
        </w:rPr>
      </w:pPr>
      <w:r>
        <w:rPr>
          <w:rFonts w:hint="eastAsia" w:ascii="宋体" w:hAnsi="宋体" w:eastAsia="宋体" w:cs="宋体"/>
          <w:i w:val="0"/>
          <w:iCs w:val="0"/>
          <w:caps w:val="0"/>
          <w:color w:val="333333"/>
          <w:spacing w:val="0"/>
          <w:sz w:val="56"/>
          <w:szCs w:val="5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56"/>
          <w:szCs w:val="56"/>
        </w:rPr>
      </w:pPr>
      <w:r>
        <w:rPr>
          <w:rFonts w:hint="eastAsia" w:ascii="微软雅黑" w:hAnsi="微软雅黑" w:eastAsia="微软雅黑" w:cs="微软雅黑"/>
          <w:i w:val="0"/>
          <w:iCs w:val="0"/>
          <w:caps w:val="0"/>
          <w:color w:val="333333"/>
          <w:spacing w:val="0"/>
          <w:sz w:val="56"/>
          <w:szCs w:val="56"/>
          <w:shd w:val="clear" w:fill="FFFFFF"/>
        </w:rPr>
        <w:t>目</w:t>
      </w:r>
      <w:r>
        <w:rPr>
          <w:rFonts w:hint="eastAsia" w:ascii="宋体" w:hAnsi="宋体" w:eastAsia="宋体" w:cs="宋体"/>
          <w:i w:val="0"/>
          <w:iCs w:val="0"/>
          <w:caps w:val="0"/>
          <w:color w:val="333333"/>
          <w:spacing w:val="0"/>
          <w:sz w:val="56"/>
          <w:szCs w:val="56"/>
          <w:shd w:val="clear" w:fill="FFFFFF"/>
        </w:rPr>
        <w:t> </w:t>
      </w:r>
      <w:r>
        <w:rPr>
          <w:rFonts w:hint="eastAsia" w:ascii="微软雅黑" w:hAnsi="微软雅黑" w:eastAsia="微软雅黑" w:cs="微软雅黑"/>
          <w:i w:val="0"/>
          <w:iCs w:val="0"/>
          <w:caps w:val="0"/>
          <w:color w:val="333333"/>
          <w:spacing w:val="0"/>
          <w:sz w:val="56"/>
          <w:szCs w:val="56"/>
          <w:shd w:val="clear" w:fill="FFFFFF"/>
        </w:rPr>
        <w:t>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sz w:val="32"/>
          <w:szCs w:val="32"/>
          <w:shd w:val="clear" w:fill="FFFFFF"/>
        </w:rPr>
        <w:t>第一部分 </w:t>
      </w:r>
      <w:r>
        <w:rPr>
          <w:rFonts w:hint="eastAsia" w:asciiTheme="minorEastAsia" w:hAnsiTheme="minorEastAsia" w:eastAsiaTheme="minorEastAsia" w:cstheme="minorEastAsia"/>
          <w:b/>
          <w:bCs/>
          <w:i w:val="0"/>
          <w:iCs w:val="0"/>
          <w:caps w:val="0"/>
          <w:color w:val="333333"/>
          <w:spacing w:val="0"/>
          <w:sz w:val="32"/>
          <w:szCs w:val="32"/>
          <w:shd w:val="clear" w:fill="FFFFFF"/>
          <w:lang w:val="en-US" w:eastAsia="zh-CN"/>
        </w:rPr>
        <w:t>农业农村局</w:t>
      </w:r>
      <w:r>
        <w:rPr>
          <w:rFonts w:hint="eastAsia" w:asciiTheme="minorEastAsia" w:hAnsiTheme="minorEastAsia" w:eastAsiaTheme="minorEastAsia" w:cstheme="minorEastAsia"/>
          <w:b/>
          <w:bCs/>
          <w:i w:val="0"/>
          <w:iCs w:val="0"/>
          <w:caps w:val="0"/>
          <w:color w:val="333333"/>
          <w:spacing w:val="0"/>
          <w:sz w:val="32"/>
          <w:szCs w:val="32"/>
          <w:shd w:val="clear" w:fill="FFFFFF"/>
        </w:rPr>
        <w:t>概况</w:t>
      </w:r>
    </w:p>
    <w:p>
      <w:pPr>
        <w:kinsoku w:val="0"/>
        <w:overflowPunct w:val="0"/>
        <w:adjustRightInd w:val="0"/>
        <w:snapToGrid w:val="0"/>
        <w:spacing w:line="360" w:lineRule="auto"/>
        <w:ind w:right="3569" w:firstLine="320" w:firstLineChars="100"/>
        <w:jc w:val="lef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i w:val="0"/>
          <w:iCs w:val="0"/>
          <w:caps w:val="0"/>
          <w:color w:val="333333"/>
          <w:spacing w:val="0"/>
          <w:sz w:val="32"/>
          <w:szCs w:val="32"/>
          <w:shd w:val="clear" w:fill="FFFFFF"/>
        </w:rPr>
        <w:t>一、</w:t>
      </w:r>
      <w:r>
        <w:rPr>
          <w:rFonts w:hint="eastAsia" w:asciiTheme="minorEastAsia" w:hAnsiTheme="minorEastAsia" w:eastAsiaTheme="minorEastAsia" w:cstheme="minorEastAsia"/>
          <w:sz w:val="32"/>
          <w:szCs w:val="32"/>
        </w:rPr>
        <w:t>主要职</w:t>
      </w:r>
      <w:r>
        <w:rPr>
          <w:rFonts w:hint="eastAsia" w:asciiTheme="minorEastAsia" w:hAnsiTheme="minorEastAsia" w:eastAsiaTheme="minorEastAsia" w:cstheme="minorEastAsia"/>
          <w:sz w:val="32"/>
          <w:szCs w:val="32"/>
          <w:lang w:eastAsia="zh-CN"/>
        </w:rPr>
        <w:t>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i w:val="0"/>
          <w:iCs w:val="0"/>
          <w:caps w:val="0"/>
          <w:color w:val="333333"/>
          <w:spacing w:val="0"/>
          <w:sz w:val="32"/>
          <w:szCs w:val="32"/>
          <w:shd w:val="clear" w:fill="FFFFFF"/>
        </w:rPr>
        <w:t>　二、</w:t>
      </w:r>
      <w:r>
        <w:rPr>
          <w:rFonts w:hint="eastAsia" w:asciiTheme="minorEastAsia" w:hAnsiTheme="minorEastAsia" w:eastAsiaTheme="minorEastAsia" w:cstheme="minorEastAsia"/>
          <w:sz w:val="32"/>
          <w:szCs w:val="32"/>
          <w:highlight w:val="none"/>
          <w:lang w:eastAsia="zh-CN"/>
        </w:rPr>
        <w:t>机构设置及</w:t>
      </w:r>
      <w:r>
        <w:rPr>
          <w:rFonts w:hint="eastAsia" w:asciiTheme="minorEastAsia" w:hAnsiTheme="minorEastAsia" w:eastAsiaTheme="minorEastAsia" w:cstheme="minorEastAsia"/>
          <w:sz w:val="32"/>
          <w:szCs w:val="32"/>
          <w:highlight w:val="none"/>
        </w:rPr>
        <w:t>部</w:t>
      </w:r>
      <w:r>
        <w:rPr>
          <w:rFonts w:hint="eastAsia" w:asciiTheme="minorEastAsia" w:hAnsiTheme="minorEastAsia" w:eastAsiaTheme="minorEastAsia" w:cstheme="minorEastAsia"/>
          <w:sz w:val="32"/>
          <w:szCs w:val="32"/>
        </w:rPr>
        <w:t>门预算单</w:t>
      </w:r>
      <w:r>
        <w:rPr>
          <w:rFonts w:hint="eastAsia" w:asciiTheme="minorEastAsia" w:hAnsiTheme="minorEastAsia" w:eastAsiaTheme="minorEastAsia" w:cstheme="minorEastAsia"/>
          <w:sz w:val="32"/>
          <w:szCs w:val="32"/>
          <w:lang w:eastAsia="zh-CN"/>
        </w:rPr>
        <w:t>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b/>
          <w:bCs/>
          <w:i w:val="0"/>
          <w:iCs w:val="0"/>
          <w:caps w:val="0"/>
          <w:color w:val="333333"/>
          <w:spacing w:val="0"/>
          <w:sz w:val="32"/>
          <w:szCs w:val="32"/>
          <w:shd w:val="clear" w:fill="FFFFFF"/>
        </w:rPr>
      </w:pPr>
      <w:r>
        <w:rPr>
          <w:rFonts w:hint="eastAsia" w:asciiTheme="minorEastAsia" w:hAnsiTheme="minorEastAsia" w:eastAsiaTheme="minorEastAsia" w:cstheme="minorEastAsia"/>
          <w:b/>
          <w:bCs/>
          <w:i w:val="0"/>
          <w:iCs w:val="0"/>
          <w:caps w:val="0"/>
          <w:color w:val="333333"/>
          <w:spacing w:val="0"/>
          <w:sz w:val="32"/>
          <w:szCs w:val="32"/>
          <w:shd w:val="clear" w:fill="FFFFFF"/>
        </w:rPr>
        <w:t>第二部分 </w:t>
      </w:r>
      <w:r>
        <w:rPr>
          <w:rFonts w:hint="eastAsia" w:asciiTheme="minorEastAsia" w:hAnsiTheme="minorEastAsia" w:eastAsiaTheme="minorEastAsia" w:cstheme="minorEastAsia"/>
          <w:b/>
          <w:bCs/>
          <w:i w:val="0"/>
          <w:iCs w:val="0"/>
          <w:caps w:val="0"/>
          <w:color w:val="333333"/>
          <w:spacing w:val="0"/>
          <w:sz w:val="32"/>
          <w:szCs w:val="32"/>
          <w:shd w:val="clear" w:fill="FFFFFF"/>
          <w:lang w:val="en-US" w:eastAsia="zh-CN"/>
        </w:rPr>
        <w:t>农业农村局</w:t>
      </w:r>
      <w:r>
        <w:rPr>
          <w:rFonts w:hint="eastAsia" w:asciiTheme="minorEastAsia" w:hAnsiTheme="minorEastAsia" w:cstheme="minorEastAsia"/>
          <w:b/>
          <w:bCs/>
          <w:i w:val="0"/>
          <w:iCs w:val="0"/>
          <w:caps w:val="0"/>
          <w:color w:val="333333"/>
          <w:spacing w:val="0"/>
          <w:sz w:val="32"/>
          <w:szCs w:val="32"/>
          <w:shd w:val="clear" w:fill="FFFFFF"/>
          <w:lang w:val="en-US" w:eastAsia="zh-CN"/>
        </w:rPr>
        <w:t>2020</w:t>
      </w:r>
      <w:r>
        <w:rPr>
          <w:rFonts w:hint="eastAsia" w:asciiTheme="minorEastAsia" w:hAnsiTheme="minorEastAsia" w:eastAsiaTheme="minorEastAsia" w:cstheme="minorEastAsia"/>
          <w:b/>
          <w:bCs/>
          <w:i w:val="0"/>
          <w:iCs w:val="0"/>
          <w:caps w:val="0"/>
          <w:color w:val="333333"/>
          <w:spacing w:val="0"/>
          <w:sz w:val="32"/>
          <w:szCs w:val="32"/>
          <w:shd w:val="clear" w:fill="FFFFFF"/>
        </w:rPr>
        <w:t>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kern w:val="0"/>
          <w:sz w:val="32"/>
          <w:szCs w:val="32"/>
          <w:shd w:val="clear" w:fill="FFFFFF"/>
          <w:lang w:val="en-US" w:eastAsia="zh-CN" w:bidi="ar"/>
        </w:rPr>
        <w:t>第三部分 名词解释</w:t>
      </w:r>
    </w:p>
    <w:p>
      <w:pPr>
        <w:kinsoku w:val="0"/>
        <w:overflowPunct w:val="0"/>
        <w:adjustRightInd w:val="0"/>
        <w:snapToGrid w:val="0"/>
        <w:spacing w:line="360" w:lineRule="auto"/>
        <w:rPr>
          <w:rFonts w:hint="eastAsia" w:asciiTheme="minorEastAsia" w:hAnsiTheme="minorEastAsia" w:eastAsiaTheme="minorEastAsia" w:cstheme="minorEastAsia"/>
          <w:i w:val="0"/>
          <w:iCs w:val="0"/>
          <w:caps w:val="0"/>
          <w:color w:val="333333"/>
          <w:spacing w:val="0"/>
          <w:sz w:val="32"/>
          <w:szCs w:val="32"/>
        </w:rPr>
      </w:pPr>
      <w:r>
        <w:rPr>
          <w:rFonts w:hint="eastAsia" w:ascii="黑体" w:hAnsi="Times New Roman" w:eastAsia="黑体" w:cs="黑体"/>
          <w:sz w:val="32"/>
          <w:szCs w:val="32"/>
        </w:rPr>
        <w:t>附件：</w:t>
      </w:r>
      <w:r>
        <w:rPr>
          <w:rFonts w:hint="eastAsia" w:ascii="黑体" w:hAnsi="Times New Roman" w:eastAsia="黑体" w:cs="黑体"/>
          <w:sz w:val="32"/>
          <w:szCs w:val="32"/>
          <w:lang w:val="en-US" w:eastAsia="zh-CN"/>
        </w:rPr>
        <w:t xml:space="preserve">  </w:t>
      </w:r>
      <w:r>
        <w:rPr>
          <w:rFonts w:hint="eastAsia" w:asciiTheme="minorEastAsia" w:hAnsiTheme="minorEastAsia" w:eastAsiaTheme="minorEastAsia" w:cstheme="minorEastAsia"/>
          <w:b/>
          <w:bCs/>
          <w:i w:val="0"/>
          <w:iCs w:val="0"/>
          <w:caps w:val="0"/>
          <w:color w:val="333333"/>
          <w:spacing w:val="0"/>
          <w:sz w:val="32"/>
          <w:szCs w:val="32"/>
          <w:shd w:val="clear" w:fill="FFFFFF"/>
          <w:lang w:val="en-US" w:eastAsia="zh-CN"/>
        </w:rPr>
        <w:t>农业农村局</w:t>
      </w:r>
      <w:r>
        <w:rPr>
          <w:rFonts w:hint="eastAsia" w:ascii="黑体" w:hAnsi="Times New Roman" w:eastAsia="黑体" w:cs="黑体"/>
          <w:sz w:val="32"/>
          <w:szCs w:val="32"/>
        </w:rPr>
        <w:t>20</w:t>
      </w:r>
      <w:r>
        <w:rPr>
          <w:rFonts w:hint="eastAsia" w:ascii="黑体" w:hAnsi="Times New Roman" w:eastAsia="黑体" w:cs="黑体"/>
          <w:sz w:val="32"/>
          <w:szCs w:val="32"/>
          <w:lang w:val="en-US" w:eastAsia="zh-CN"/>
        </w:rPr>
        <w:t>20</w:t>
      </w:r>
      <w:r>
        <w:rPr>
          <w:rFonts w:hint="eastAsia" w:ascii="黑体" w:hAnsi="Times New Roman" w:eastAsia="黑体" w:cs="黑体"/>
          <w:sz w:val="32"/>
          <w:szCs w:val="32"/>
        </w:rPr>
        <w:t>年部门预算表</w:t>
      </w:r>
    </w:p>
    <w:p>
      <w:pPr>
        <w:numPr>
          <w:ilvl w:val="0"/>
          <w:numId w:val="1"/>
        </w:numPr>
        <w:kinsoku w:val="0"/>
        <w:overflowPunct w:val="0"/>
        <w:adjustRightInd w:val="0"/>
        <w:snapToGrid w:val="0"/>
        <w:spacing w:line="360" w:lineRule="auto"/>
        <w:ind w:right="51"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部门收支预算总表</w:t>
      </w:r>
    </w:p>
    <w:p>
      <w:pPr>
        <w:numPr>
          <w:ilvl w:val="0"/>
          <w:numId w:val="1"/>
        </w:numPr>
        <w:kinsoku w:val="0"/>
        <w:overflowPunct w:val="0"/>
        <w:adjustRightInd w:val="0"/>
        <w:snapToGrid w:val="0"/>
        <w:spacing w:line="360" w:lineRule="auto"/>
        <w:ind w:left="0" w:leftChars="0" w:right="51"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部门收入预算总表</w:t>
      </w:r>
    </w:p>
    <w:p>
      <w:pPr>
        <w:numPr>
          <w:ilvl w:val="0"/>
          <w:numId w:val="0"/>
        </w:numPr>
        <w:kinsoku w:val="0"/>
        <w:overflowPunct w:val="0"/>
        <w:adjustRightInd w:val="0"/>
        <w:snapToGrid w:val="0"/>
        <w:spacing w:line="360" w:lineRule="auto"/>
        <w:ind w:right="51" w:rightChars="0"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三、部门支出总体情况表</w:t>
      </w:r>
    </w:p>
    <w:p>
      <w:pPr>
        <w:kinsoku w:val="0"/>
        <w:overflowPunct w:val="0"/>
        <w:adjustRightInd w:val="0"/>
        <w:snapToGrid w:val="0"/>
        <w:spacing w:line="360" w:lineRule="auto"/>
        <w:ind w:right="51"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四、财政拨款预算收支情况表</w:t>
      </w:r>
    </w:p>
    <w:p>
      <w:pPr>
        <w:kinsoku w:val="0"/>
        <w:overflowPunct w:val="0"/>
        <w:adjustRightInd w:val="0"/>
        <w:snapToGrid w:val="0"/>
        <w:spacing w:line="360" w:lineRule="auto"/>
        <w:ind w:right="51"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五、一般公共预算支出情况表(按功能分类)</w:t>
      </w:r>
    </w:p>
    <w:p>
      <w:pPr>
        <w:kinsoku w:val="0"/>
        <w:overflowPunct w:val="0"/>
        <w:adjustRightInd w:val="0"/>
        <w:snapToGrid w:val="0"/>
        <w:spacing w:line="360" w:lineRule="auto"/>
        <w:ind w:right="51"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六、一般公共预算基本支出情况表（按经济分类)</w:t>
      </w:r>
    </w:p>
    <w:p>
      <w:pPr>
        <w:kinsoku w:val="0"/>
        <w:overflowPunct w:val="0"/>
        <w:adjustRightInd w:val="0"/>
        <w:snapToGrid w:val="0"/>
        <w:spacing w:line="360" w:lineRule="auto"/>
        <w:ind w:right="51"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七、政府性基金支出情况表</w:t>
      </w:r>
    </w:p>
    <w:p>
      <w:pPr>
        <w:kinsoku w:val="0"/>
        <w:overflowPunct w:val="0"/>
        <w:adjustRightInd w:val="0"/>
        <w:snapToGrid w:val="0"/>
        <w:spacing w:line="360" w:lineRule="auto"/>
        <w:ind w:right="51"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八</w:t>
      </w:r>
      <w:r>
        <w:rPr>
          <w:rFonts w:hint="eastAsia" w:asciiTheme="minorEastAsia" w:hAnsiTheme="minorEastAsia" w:eastAsiaTheme="minorEastAsia" w:cstheme="minorEastAsia"/>
          <w:sz w:val="32"/>
          <w:szCs w:val="32"/>
        </w:rPr>
        <w:t>、一般公共预算“三公”经费支出情况表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Calibri" w:hAnsi="Calibri" w:eastAsia="微软雅黑" w:cs="Calibri"/>
          <w:i w:val="0"/>
          <w:iCs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bCs/>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shd w:val="clear" w:fill="FFFFFF"/>
        </w:rPr>
        <w:t>第一部分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2"/>
          <w:szCs w:val="32"/>
          <w:shd w:val="clear" w:fill="FFFFFF"/>
        </w:rPr>
      </w:pPr>
      <w:r>
        <w:rPr>
          <w:rFonts w:hint="eastAsia" w:asciiTheme="minorEastAsia" w:hAnsiTheme="minorEastAsia" w:eastAsiaTheme="minorEastAsia" w:cstheme="minorEastAsia"/>
          <w:b/>
          <w:bCs/>
          <w:i w:val="0"/>
          <w:iCs w:val="0"/>
          <w:caps w:val="0"/>
          <w:color w:val="333333"/>
          <w:spacing w:val="0"/>
          <w:sz w:val="32"/>
          <w:szCs w:val="32"/>
          <w:shd w:val="clear" w:fill="FFFFFF"/>
          <w:lang w:val="en-US" w:eastAsia="zh-CN"/>
        </w:rPr>
        <w:t>农业农村局</w:t>
      </w:r>
      <w:r>
        <w:rPr>
          <w:rFonts w:hint="eastAsia" w:ascii="宋体" w:hAnsi="宋体" w:eastAsia="宋体" w:cs="宋体"/>
          <w:b/>
          <w:bCs/>
          <w:i w:val="0"/>
          <w:iCs w:val="0"/>
          <w:caps w:val="0"/>
          <w:color w:val="333333"/>
          <w:spacing w:val="0"/>
          <w:sz w:val="32"/>
          <w:szCs w:val="32"/>
          <w:shd w:val="clear" w:fill="FFFFFF"/>
        </w:rPr>
        <w:t>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2"/>
          <w:szCs w:val="32"/>
          <w:shd w:val="clear" w:fill="FFFFFF"/>
        </w:rPr>
      </w:pP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一、</w:t>
      </w:r>
      <w:r>
        <w:rPr>
          <w:rFonts w:hint="eastAsia" w:asciiTheme="minorEastAsia" w:hAnsiTheme="minorEastAsia" w:eastAsiaTheme="minorEastAsia" w:cstheme="minorEastAsia"/>
          <w:b/>
          <w:bCs/>
          <w:i w:val="0"/>
          <w:iCs w:val="0"/>
          <w:caps w:val="0"/>
          <w:color w:val="333333"/>
          <w:spacing w:val="0"/>
          <w:sz w:val="32"/>
          <w:szCs w:val="32"/>
          <w:shd w:val="clear" w:fill="FFFFFF"/>
          <w:lang w:val="en-US" w:eastAsia="zh-CN"/>
        </w:rPr>
        <w:t>农业农村局</w:t>
      </w:r>
      <w:r>
        <w:rPr>
          <w:rFonts w:hint="eastAsia" w:ascii="黑体" w:hAnsi="黑体" w:eastAsia="黑体"/>
          <w:sz w:val="32"/>
          <w:szCs w:val="32"/>
        </w:rPr>
        <w:t>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kern w:val="0"/>
          <w:sz w:val="32"/>
          <w:szCs w:val="32"/>
          <w:shd w:val="clear" w:fill="FFFFFF"/>
          <w:lang w:val="en-US" w:eastAsia="zh-CN" w:bidi="ar"/>
        </w:rPr>
        <w:t>1、贯彻执行中央、省、市、县委关于农业农村经济发展战略、方针、政策和法规。改革、发展的方针政策和工作部署，牵头贯彻落实各项方针政策。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kern w:val="0"/>
          <w:sz w:val="32"/>
          <w:szCs w:val="32"/>
          <w:shd w:val="clear" w:fill="FFFFFF"/>
          <w:lang w:val="en-US" w:eastAsia="zh-CN" w:bidi="ar"/>
        </w:rPr>
        <w:t>2、督促指导涉农部门贯彻落实上级有关涉农工作的决策部署和重要事项，综合组织协调服务涉农有关工作。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kern w:val="0"/>
          <w:sz w:val="32"/>
          <w:szCs w:val="32"/>
          <w:shd w:val="clear" w:fill="FFFFFF"/>
          <w:lang w:val="en-US" w:eastAsia="zh-CN" w:bidi="ar"/>
        </w:rPr>
        <w:t>3、组织全县有关涉农工作的重要会议、观摩视察、学习调研等大型活动，及时掌握反映“三农”工作动态与信息，总结推广典型经验。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kern w:val="0"/>
          <w:sz w:val="32"/>
          <w:szCs w:val="32"/>
          <w:shd w:val="clear" w:fill="FFFFFF"/>
          <w:lang w:val="en-US" w:eastAsia="zh-CN" w:bidi="ar"/>
        </w:rPr>
        <w:t>4、承担农产品质量认证监督和农业防灾减灾的责任，负责农业信息体系建设，农业科技教育，农业技术推广建设。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kern w:val="0"/>
          <w:sz w:val="32"/>
          <w:szCs w:val="32"/>
          <w:shd w:val="clear" w:fill="FFFFFF"/>
          <w:lang w:val="en-US" w:eastAsia="zh-CN" w:bidi="ar"/>
        </w:rPr>
        <w:t>5、负责监督检查全县减轻农民负担工作。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both"/>
        <w:rPr>
          <w:rFonts w:hint="eastAsia" w:asciiTheme="minorEastAsia" w:hAnsiTheme="minorEastAsia" w:eastAsiaTheme="minorEastAsia" w:cstheme="minorEastAsia"/>
          <w:i w:val="0"/>
          <w:iCs w:val="0"/>
          <w:caps w:val="0"/>
          <w:color w:val="333333"/>
          <w:spacing w:val="0"/>
          <w:kern w:val="0"/>
          <w:sz w:val="32"/>
          <w:szCs w:val="32"/>
          <w:shd w:val="clear" w:fill="FFFFFF"/>
          <w:lang w:val="en-US" w:eastAsia="zh-CN" w:bidi="ar"/>
        </w:rPr>
      </w:pPr>
      <w:r>
        <w:rPr>
          <w:rFonts w:hint="eastAsia" w:asciiTheme="minorEastAsia" w:hAnsiTheme="minorEastAsia" w:eastAsiaTheme="minorEastAsia" w:cstheme="minorEastAsia"/>
          <w:i w:val="0"/>
          <w:iCs w:val="0"/>
          <w:caps w:val="0"/>
          <w:color w:val="333333"/>
          <w:spacing w:val="0"/>
          <w:kern w:val="0"/>
          <w:sz w:val="32"/>
          <w:szCs w:val="32"/>
          <w:shd w:val="clear" w:fill="FFFFFF"/>
          <w:lang w:val="en-US" w:eastAsia="zh-CN" w:bidi="ar"/>
        </w:rPr>
        <w:t>6、承办县委、政府交办的其他事项。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3" w:firstLineChars="200"/>
        <w:jc w:val="both"/>
        <w:rPr>
          <w:rFonts w:hint="eastAsia" w:ascii="黑体" w:hAnsi="黑体" w:eastAsia="黑体"/>
          <w:sz w:val="32"/>
          <w:szCs w:val="32"/>
        </w:rPr>
      </w:pPr>
      <w:r>
        <w:rPr>
          <w:rFonts w:hint="eastAsia" w:asciiTheme="minorEastAsia" w:hAnsiTheme="minorEastAsia" w:cstheme="minorEastAsia"/>
          <w:b/>
          <w:bCs/>
          <w:i w:val="0"/>
          <w:iCs w:val="0"/>
          <w:caps w:val="0"/>
          <w:color w:val="333333"/>
          <w:spacing w:val="0"/>
          <w:sz w:val="32"/>
          <w:szCs w:val="32"/>
          <w:shd w:val="clear" w:fill="FFFFFF"/>
          <w:lang w:val="en-US" w:eastAsia="zh-CN"/>
        </w:rPr>
        <w:t>二、</w:t>
      </w:r>
      <w:r>
        <w:rPr>
          <w:rFonts w:hint="eastAsia" w:asciiTheme="minorEastAsia" w:hAnsiTheme="minorEastAsia" w:eastAsiaTheme="minorEastAsia" w:cstheme="minorEastAsia"/>
          <w:b/>
          <w:bCs/>
          <w:i w:val="0"/>
          <w:iCs w:val="0"/>
          <w:caps w:val="0"/>
          <w:color w:val="333333"/>
          <w:spacing w:val="0"/>
          <w:sz w:val="32"/>
          <w:szCs w:val="32"/>
          <w:shd w:val="clear" w:fill="FFFFFF"/>
          <w:lang w:val="en-US" w:eastAsia="zh-CN"/>
        </w:rPr>
        <w:t>农业农村局</w:t>
      </w:r>
      <w:r>
        <w:rPr>
          <w:rFonts w:hint="eastAsia" w:ascii="黑体" w:hAnsi="黑体" w:eastAsia="黑体"/>
          <w:sz w:val="32"/>
          <w:szCs w:val="32"/>
          <w:lang w:eastAsia="zh-CN"/>
        </w:rPr>
        <w:t>机构设置及部门</w:t>
      </w:r>
      <w:r>
        <w:rPr>
          <w:rFonts w:hint="eastAsia" w:ascii="黑体" w:hAnsi="黑体" w:eastAsia="黑体"/>
          <w:sz w:val="32"/>
          <w:szCs w:val="32"/>
        </w:rPr>
        <w:t>预算单位构成</w:t>
      </w:r>
    </w:p>
    <w:p>
      <w:pPr>
        <w:numPr>
          <w:ilvl w:val="0"/>
          <w:numId w:val="2"/>
        </w:numPr>
        <w:kinsoku w:val="0"/>
        <w:overflowPunct w:val="0"/>
        <w:autoSpaceDE w:val="0"/>
        <w:autoSpaceDN w:val="0"/>
        <w:adjustRightInd w:val="0"/>
        <w:snapToGrid w:val="0"/>
        <w:spacing w:line="360" w:lineRule="auto"/>
        <w:ind w:left="270" w:leftChars="0" w:right="118" w:firstLine="360" w:firstLineChars="0"/>
        <w:jc w:val="left"/>
        <w:rPr>
          <w:rFonts w:hint="eastAsia" w:asciiTheme="minorEastAsia" w:hAnsiTheme="minorEastAsia" w:eastAsiaTheme="minorEastAsia" w:cstheme="minorEastAsia"/>
          <w:spacing w:val="2"/>
          <w:kern w:val="0"/>
          <w:sz w:val="32"/>
          <w:szCs w:val="32"/>
          <w:highlight w:val="none"/>
          <w:lang w:eastAsia="zh-CN"/>
        </w:rPr>
      </w:pPr>
      <w:r>
        <w:rPr>
          <w:rFonts w:hint="eastAsia" w:asciiTheme="minorEastAsia" w:hAnsiTheme="minorEastAsia" w:eastAsiaTheme="minorEastAsia" w:cstheme="minorEastAsia"/>
          <w:spacing w:val="2"/>
          <w:kern w:val="0"/>
          <w:sz w:val="32"/>
          <w:szCs w:val="32"/>
          <w:highlight w:val="none"/>
          <w:lang w:eastAsia="zh-CN"/>
        </w:rPr>
        <w:t>机构设置</w:t>
      </w:r>
    </w:p>
    <w:p>
      <w:pPr>
        <w:numPr>
          <w:ilvl w:val="0"/>
          <w:numId w:val="0"/>
        </w:numPr>
        <w:tabs>
          <w:tab w:val="left" w:pos="5040"/>
        </w:tabs>
        <w:adjustRightInd w:val="0"/>
        <w:snapToGrid w:val="0"/>
        <w:spacing w:line="360" w:lineRule="auto"/>
        <w:ind w:firstLine="648"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pacing w:val="2"/>
          <w:kern w:val="0"/>
          <w:sz w:val="32"/>
          <w:szCs w:val="32"/>
          <w:highlight w:val="none"/>
        </w:rPr>
        <w:t>根据《中共南阳市委办公室南阳市人民政府办公室关于印发〈</w:t>
      </w:r>
      <w:r>
        <w:rPr>
          <w:rFonts w:hint="eastAsia" w:asciiTheme="minorEastAsia" w:hAnsiTheme="minorEastAsia" w:cstheme="minorEastAsia"/>
          <w:spacing w:val="2"/>
          <w:kern w:val="0"/>
          <w:sz w:val="32"/>
          <w:szCs w:val="32"/>
          <w:highlight w:val="none"/>
          <w:lang w:val="en-US" w:eastAsia="zh-CN"/>
        </w:rPr>
        <w:t>内乡县农业农村</w:t>
      </w:r>
      <w:r>
        <w:rPr>
          <w:rFonts w:hint="eastAsia" w:asciiTheme="minorEastAsia" w:hAnsiTheme="minorEastAsia" w:eastAsiaTheme="minorEastAsia" w:cstheme="minorEastAsia"/>
          <w:spacing w:val="2"/>
          <w:kern w:val="0"/>
          <w:sz w:val="32"/>
          <w:szCs w:val="32"/>
          <w:highlight w:val="none"/>
        </w:rPr>
        <w:t>局职能配置、内设机构和人员编制规定〉的通知》的规定，</w:t>
      </w:r>
      <w:r>
        <w:rPr>
          <w:rFonts w:hint="eastAsia" w:asciiTheme="minorEastAsia" w:hAnsiTheme="minorEastAsia" w:cstheme="minorEastAsia"/>
          <w:spacing w:val="2"/>
          <w:kern w:val="0"/>
          <w:sz w:val="32"/>
          <w:szCs w:val="32"/>
          <w:highlight w:val="none"/>
          <w:lang w:val="en-US" w:eastAsia="zh-CN"/>
        </w:rPr>
        <w:t>内乡县农业农村</w:t>
      </w:r>
      <w:r>
        <w:rPr>
          <w:rFonts w:hint="eastAsia" w:asciiTheme="minorEastAsia" w:hAnsiTheme="minorEastAsia" w:eastAsiaTheme="minorEastAsia" w:cstheme="minorEastAsia"/>
          <w:spacing w:val="2"/>
          <w:kern w:val="0"/>
          <w:sz w:val="32"/>
          <w:szCs w:val="32"/>
          <w:highlight w:val="none"/>
        </w:rPr>
        <w:t>局设</w:t>
      </w:r>
      <w:r>
        <w:rPr>
          <w:rFonts w:hint="eastAsia" w:asciiTheme="minorEastAsia" w:hAnsiTheme="minorEastAsia" w:cstheme="minorEastAsia"/>
          <w:spacing w:val="2"/>
          <w:kern w:val="0"/>
          <w:sz w:val="32"/>
          <w:szCs w:val="32"/>
          <w:highlight w:val="none"/>
          <w:lang w:val="en-US" w:eastAsia="zh-CN"/>
        </w:rPr>
        <w:t>9</w:t>
      </w:r>
      <w:r>
        <w:rPr>
          <w:rFonts w:hint="eastAsia" w:asciiTheme="minorEastAsia" w:hAnsiTheme="minorEastAsia" w:eastAsiaTheme="minorEastAsia" w:cstheme="minorEastAsia"/>
          <w:spacing w:val="2"/>
          <w:kern w:val="0"/>
          <w:sz w:val="32"/>
          <w:szCs w:val="32"/>
          <w:highlight w:val="none"/>
        </w:rPr>
        <w:t>个科室，包括：</w:t>
      </w:r>
      <w:r>
        <w:rPr>
          <w:rFonts w:hint="eastAsia" w:asciiTheme="minorEastAsia" w:hAnsiTheme="minorEastAsia" w:eastAsiaTheme="minorEastAsia" w:cstheme="minorEastAsia"/>
          <w:i w:val="0"/>
          <w:iCs w:val="0"/>
          <w:caps w:val="0"/>
          <w:color w:val="333333"/>
          <w:spacing w:val="-1"/>
          <w:sz w:val="32"/>
          <w:szCs w:val="32"/>
          <w:shd w:val="clear" w:fill="FFFFFF"/>
        </w:rPr>
        <w:t>综合办公室、人事股、科技教育股、农业产业化办公室、粮经作物股、政策法规股、新农村建设股、农业项目建设管理股、农村集体经济指导股</w:t>
      </w:r>
      <w:r>
        <w:rPr>
          <w:rFonts w:hint="eastAsia" w:asciiTheme="minorEastAsia" w:hAnsiTheme="minorEastAsia" w:cstheme="minorEastAsia"/>
          <w:i w:val="0"/>
          <w:iCs w:val="0"/>
          <w:caps w:val="0"/>
          <w:color w:val="333333"/>
          <w:spacing w:val="-1"/>
          <w:sz w:val="32"/>
          <w:szCs w:val="32"/>
          <w:shd w:val="clear" w:fill="FFFFFF"/>
          <w:lang w:eastAsia="zh-CN"/>
        </w:rPr>
        <w:t>。</w:t>
      </w:r>
    </w:p>
    <w:p>
      <w:pPr>
        <w:numPr>
          <w:ilvl w:val="0"/>
          <w:numId w:val="2"/>
        </w:numPr>
        <w:kinsoku w:val="0"/>
        <w:overflowPunct w:val="0"/>
        <w:autoSpaceDE w:val="0"/>
        <w:autoSpaceDN w:val="0"/>
        <w:adjustRightInd w:val="0"/>
        <w:snapToGrid w:val="0"/>
        <w:spacing w:line="360" w:lineRule="auto"/>
        <w:ind w:left="270" w:leftChars="0" w:right="118" w:firstLine="360" w:firstLineChars="0"/>
        <w:jc w:val="left"/>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lang w:eastAsia="zh-CN"/>
        </w:rPr>
        <w:t>部门预算单位构成</w:t>
      </w:r>
    </w:p>
    <w:p>
      <w:pPr>
        <w:numPr>
          <w:ilvl w:val="0"/>
          <w:numId w:val="0"/>
        </w:numPr>
        <w:kinsoku w:val="0"/>
        <w:overflowPunct w:val="0"/>
        <w:autoSpaceDE w:val="0"/>
        <w:autoSpaceDN w:val="0"/>
        <w:adjustRightInd w:val="0"/>
        <w:snapToGrid w:val="0"/>
        <w:spacing w:line="360" w:lineRule="auto"/>
        <w:ind w:right="118" w:rightChars="0" w:firstLine="648" w:firstLineChars="200"/>
        <w:jc w:val="left"/>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spacing w:val="2"/>
          <w:kern w:val="0"/>
          <w:sz w:val="32"/>
          <w:szCs w:val="32"/>
          <w:highlight w:val="none"/>
          <w:lang w:val="en-US" w:eastAsia="zh-CN"/>
        </w:rPr>
        <w:t>农业农村</w:t>
      </w:r>
      <w:r>
        <w:rPr>
          <w:rFonts w:hint="eastAsia" w:asciiTheme="minorEastAsia" w:hAnsiTheme="minorEastAsia" w:eastAsiaTheme="minorEastAsia" w:cstheme="minorEastAsia"/>
          <w:spacing w:val="2"/>
          <w:kern w:val="0"/>
          <w:sz w:val="32"/>
          <w:szCs w:val="32"/>
          <w:highlight w:val="none"/>
        </w:rPr>
        <w:t>局</w:t>
      </w:r>
      <w:r>
        <w:rPr>
          <w:rFonts w:hint="eastAsia" w:asciiTheme="minorEastAsia" w:hAnsiTheme="minorEastAsia" w:eastAsiaTheme="minorEastAsia" w:cstheme="minorEastAsia"/>
          <w:spacing w:val="2"/>
          <w:kern w:val="0"/>
          <w:sz w:val="32"/>
          <w:szCs w:val="32"/>
        </w:rPr>
        <w:t>部门</w:t>
      </w:r>
      <w:r>
        <w:rPr>
          <w:rFonts w:hint="eastAsia" w:asciiTheme="minorEastAsia" w:hAnsiTheme="minorEastAsia" w:eastAsiaTheme="minorEastAsia" w:cstheme="minorEastAsia"/>
          <w:kern w:val="0"/>
          <w:sz w:val="32"/>
          <w:szCs w:val="32"/>
        </w:rPr>
        <w:t>预算</w:t>
      </w:r>
      <w:r>
        <w:rPr>
          <w:rFonts w:hint="eastAsia" w:asciiTheme="minorEastAsia" w:hAnsiTheme="minorEastAsia" w:eastAsiaTheme="minorEastAsia" w:cstheme="minorEastAsia"/>
          <w:spacing w:val="2"/>
          <w:kern w:val="0"/>
          <w:sz w:val="32"/>
          <w:szCs w:val="32"/>
        </w:rPr>
        <w:t>包括局机关本级</w:t>
      </w:r>
      <w:r>
        <w:rPr>
          <w:rFonts w:hint="eastAsia" w:asciiTheme="minorEastAsia" w:hAnsiTheme="minorEastAsia" w:eastAsiaTheme="minorEastAsia" w:cstheme="minorEastAsia"/>
          <w:spacing w:val="-1"/>
          <w:kern w:val="0"/>
          <w:sz w:val="32"/>
          <w:szCs w:val="32"/>
        </w:rPr>
        <w:t>预算</w:t>
      </w:r>
      <w:r>
        <w:rPr>
          <w:rFonts w:hint="eastAsia" w:asciiTheme="minorEastAsia" w:hAnsiTheme="minorEastAsia" w:eastAsiaTheme="minorEastAsia" w:cstheme="minorEastAsia"/>
          <w:spacing w:val="2"/>
          <w:kern w:val="0"/>
          <w:sz w:val="32"/>
          <w:szCs w:val="32"/>
        </w:rPr>
        <w:t>和</w:t>
      </w:r>
      <w:r>
        <w:rPr>
          <w:rFonts w:hint="eastAsia" w:asciiTheme="minorEastAsia" w:hAnsiTheme="minorEastAsia" w:eastAsiaTheme="minorEastAsia" w:cstheme="minorEastAsia"/>
          <w:spacing w:val="2"/>
          <w:kern w:val="0"/>
          <w:sz w:val="32"/>
          <w:szCs w:val="32"/>
          <w:lang w:eastAsia="zh-CN"/>
        </w:rPr>
        <w:t>所</w:t>
      </w:r>
      <w:r>
        <w:rPr>
          <w:rFonts w:hint="eastAsia" w:asciiTheme="minorEastAsia" w:hAnsiTheme="minorEastAsia" w:eastAsiaTheme="minorEastAsia" w:cstheme="minorEastAsia"/>
          <w:spacing w:val="2"/>
          <w:kern w:val="0"/>
          <w:sz w:val="32"/>
          <w:szCs w:val="32"/>
        </w:rPr>
        <w:t>属</w:t>
      </w:r>
      <w:r>
        <w:rPr>
          <w:rFonts w:hint="eastAsia" w:asciiTheme="minorEastAsia" w:hAnsiTheme="minorEastAsia" w:eastAsiaTheme="minorEastAsia" w:cstheme="minorEastAsia"/>
          <w:spacing w:val="-1"/>
          <w:kern w:val="0"/>
          <w:sz w:val="32"/>
          <w:szCs w:val="32"/>
        </w:rPr>
        <w:t>单位预算。</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640" w:leftChars="0" w:right="0" w:rightChars="0"/>
        <w:jc w:val="both"/>
        <w:rPr>
          <w:rFonts w:hint="eastAsia" w:asciiTheme="minorEastAsia" w:hAnsiTheme="minorEastAsia" w:eastAsiaTheme="minorEastAsia" w:cstheme="minorEastAsia"/>
          <w:i w:val="0"/>
          <w:iCs w:val="0"/>
          <w:caps w:val="0"/>
          <w:color w:val="333333"/>
          <w:spacing w:val="-1"/>
          <w:sz w:val="32"/>
          <w:szCs w:val="32"/>
          <w:shd w:val="clear" w:fill="FFFFFF"/>
        </w:rPr>
      </w:pPr>
      <w:r>
        <w:rPr>
          <w:rFonts w:hint="eastAsia" w:asciiTheme="minorEastAsia" w:hAnsiTheme="minorEastAsia" w:cstheme="minorEastAsia"/>
          <w:i w:val="0"/>
          <w:iCs w:val="0"/>
          <w:caps w:val="0"/>
          <w:color w:val="333333"/>
          <w:spacing w:val="0"/>
          <w:sz w:val="32"/>
          <w:szCs w:val="32"/>
          <w:shd w:val="clear" w:fill="FFFFFF"/>
          <w:lang w:val="en-US" w:eastAsia="zh-CN"/>
        </w:rPr>
        <w:t>1.</w:t>
      </w:r>
      <w:r>
        <w:rPr>
          <w:rFonts w:hint="eastAsia" w:asciiTheme="minorEastAsia" w:hAnsiTheme="minorEastAsia" w:eastAsiaTheme="minorEastAsia" w:cstheme="minorEastAsia"/>
          <w:i w:val="0"/>
          <w:iCs w:val="0"/>
          <w:caps w:val="0"/>
          <w:color w:val="333333"/>
          <w:spacing w:val="0"/>
          <w:sz w:val="32"/>
          <w:szCs w:val="32"/>
          <w:shd w:val="clear" w:fill="FFFFFF"/>
        </w:rPr>
        <w:t>农业农村局</w:t>
      </w:r>
      <w:r>
        <w:rPr>
          <w:rFonts w:hint="eastAsia" w:asciiTheme="minorEastAsia" w:hAnsiTheme="minorEastAsia" w:eastAsiaTheme="minorEastAsia" w:cstheme="minorEastAsia"/>
          <w:i w:val="0"/>
          <w:iCs w:val="0"/>
          <w:caps w:val="0"/>
          <w:color w:val="333333"/>
          <w:spacing w:val="-1"/>
          <w:sz w:val="32"/>
          <w:szCs w:val="32"/>
          <w:shd w:val="clear" w:fill="FFFFFF"/>
        </w:rPr>
        <w:t>机关本级</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640" w:leftChars="0" w:right="0" w:rightChars="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2．内乡县农村能源环境保护站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3．内乡县植物保护植物检疫站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4、内乡县农业综合执法大队（种子管理站）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5、内乡县农业技术推广中心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6、内乡县广播电视学校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7、内乡县农产品检测中心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8、内乡县园艺场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9、内乡县柞蚕原种场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10、内乡县种子技术报务站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11、内乡县农村经济管理站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12、内乡县食用菌开发领导小组办公室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13、内乡县渔种场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shd w:val="clear" w:fill="FFFFFF"/>
        </w:rPr>
      </w:pPr>
      <w:r>
        <w:rPr>
          <w:rFonts w:hint="eastAsia" w:asciiTheme="minorEastAsia" w:hAnsiTheme="minorEastAsia" w:eastAsiaTheme="minorEastAsia" w:cstheme="minorEastAsia"/>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sz w:val="32"/>
          <w:szCs w:val="32"/>
          <w:shd w:val="clear" w:fill="FFFFFF"/>
        </w:rPr>
        <w:t>第二部分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inorEastAsia" w:hAnsiTheme="minorEastAsia" w:eastAsiaTheme="minorEastAsia" w:cstheme="minorEastAsia"/>
          <w:b/>
          <w:bCs/>
          <w:i w:val="0"/>
          <w:iCs w:val="0"/>
          <w:caps w:val="0"/>
          <w:color w:val="333333"/>
          <w:spacing w:val="0"/>
          <w:sz w:val="32"/>
          <w:szCs w:val="32"/>
          <w:shd w:val="clear" w:fill="FFFFFF"/>
        </w:rPr>
      </w:pPr>
      <w:r>
        <w:rPr>
          <w:rFonts w:hint="eastAsia" w:asciiTheme="minorEastAsia" w:hAnsiTheme="minorEastAsia" w:cstheme="minorEastAsia"/>
          <w:b/>
          <w:bCs/>
          <w:i w:val="0"/>
          <w:iCs w:val="0"/>
          <w:caps w:val="0"/>
          <w:color w:val="333333"/>
          <w:spacing w:val="0"/>
          <w:sz w:val="32"/>
          <w:szCs w:val="32"/>
          <w:shd w:val="clear" w:fill="FFFFFF"/>
          <w:lang w:val="en-US" w:eastAsia="zh-CN"/>
        </w:rPr>
        <w:t>2020</w:t>
      </w:r>
      <w:r>
        <w:rPr>
          <w:rFonts w:hint="eastAsia" w:asciiTheme="minorEastAsia" w:hAnsiTheme="minorEastAsia" w:eastAsiaTheme="minorEastAsia" w:cstheme="minorEastAsia"/>
          <w:b/>
          <w:bCs/>
          <w:i w:val="0"/>
          <w:iCs w:val="0"/>
          <w:caps w:val="0"/>
          <w:color w:val="333333"/>
          <w:spacing w:val="0"/>
          <w:sz w:val="32"/>
          <w:szCs w:val="32"/>
          <w:shd w:val="clear" w:fill="FFFFFF"/>
        </w:rPr>
        <w:t>年度部门预算情况说明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inorEastAsia" w:hAnsiTheme="minorEastAsia" w:eastAsiaTheme="minorEastAsia" w:cstheme="minorEastAsia"/>
          <w:b/>
          <w:bCs/>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3" w:firstLineChars="200"/>
        <w:jc w:val="both"/>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sz w:val="32"/>
          <w:szCs w:val="32"/>
          <w:shd w:val="clear" w:fill="FFFFFF"/>
        </w:rPr>
        <w:t>一、收入支出预算总体情况说明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heme="minorEastAsia" w:hAnsiTheme="minorEastAsia" w:eastAsiaTheme="minorEastAsia" w:cstheme="minorEastAsia"/>
          <w:i w:val="0"/>
          <w:iCs w:val="0"/>
          <w:caps w:val="0"/>
          <w:color w:val="333333"/>
          <w:spacing w:val="0"/>
          <w:sz w:val="32"/>
          <w:szCs w:val="32"/>
          <w:lang w:val="en-US" w:eastAsia="zh-CN"/>
        </w:rPr>
      </w:pPr>
      <w:r>
        <w:rPr>
          <w:rFonts w:hint="eastAsia" w:asciiTheme="minorEastAsia" w:hAnsiTheme="minorEastAsia" w:eastAsiaTheme="minorEastAsia" w:cstheme="minorEastAsia"/>
          <w:i w:val="0"/>
          <w:iCs w:val="0"/>
          <w:caps w:val="0"/>
          <w:color w:val="333333"/>
          <w:spacing w:val="0"/>
          <w:sz w:val="32"/>
          <w:szCs w:val="32"/>
          <w:shd w:val="clear" w:fill="FFFFFF"/>
        </w:rPr>
        <w:t xml:space="preserve">  </w:t>
      </w:r>
      <w:r>
        <w:rPr>
          <w:rFonts w:hint="eastAsia" w:asciiTheme="minorEastAsia" w:hAnsiTheme="minorEastAsia" w:eastAsiaTheme="minorEastAsia" w:cstheme="minorEastAsia"/>
          <w:spacing w:val="2"/>
          <w:kern w:val="0"/>
          <w:sz w:val="32"/>
          <w:szCs w:val="32"/>
          <w:highlight w:val="none"/>
          <w:lang w:val="en-US" w:eastAsia="zh-CN"/>
        </w:rPr>
        <w:t>农业农村</w:t>
      </w:r>
      <w:r>
        <w:rPr>
          <w:rFonts w:hint="eastAsia" w:asciiTheme="minorEastAsia" w:hAnsiTheme="minorEastAsia" w:eastAsiaTheme="minorEastAsia" w:cstheme="minorEastAsia"/>
          <w:spacing w:val="2"/>
          <w:kern w:val="0"/>
          <w:sz w:val="32"/>
          <w:szCs w:val="32"/>
          <w:highlight w:val="none"/>
        </w:rPr>
        <w:t>局</w:t>
      </w:r>
      <w:r>
        <w:rPr>
          <w:rFonts w:hint="eastAsia" w:asciiTheme="minorEastAsia" w:hAnsiTheme="minorEastAsia" w:eastAsiaTheme="minorEastAsia" w:cstheme="minorEastAsia"/>
          <w:i w:val="0"/>
          <w:iCs w:val="0"/>
          <w:caps w:val="0"/>
          <w:color w:val="333333"/>
          <w:spacing w:val="0"/>
          <w:sz w:val="32"/>
          <w:szCs w:val="32"/>
          <w:shd w:val="clear" w:fill="FFFFFF"/>
        </w:rPr>
        <w:t>2020年收入总计9895.4万元，支出总计9895.4万元，收</w:t>
      </w:r>
      <w:r>
        <w:rPr>
          <w:rFonts w:hint="eastAsia" w:asciiTheme="minorEastAsia" w:hAnsiTheme="minorEastAsia" w:cstheme="minorEastAsia"/>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i w:val="0"/>
          <w:iCs w:val="0"/>
          <w:caps w:val="0"/>
          <w:color w:val="333333"/>
          <w:spacing w:val="0"/>
          <w:sz w:val="32"/>
          <w:szCs w:val="32"/>
          <w:shd w:val="clear" w:fill="FFFFFF"/>
        </w:rPr>
        <w:t>支总计各增加7026.2万元，增加248.6%。</w:t>
      </w:r>
      <w:r>
        <w:rPr>
          <w:rFonts w:hint="eastAsia" w:asciiTheme="minorEastAsia" w:hAnsiTheme="minorEastAsia" w:eastAsiaTheme="minorEastAsia" w:cstheme="minorEastAsia"/>
          <w:i w:val="0"/>
          <w:iCs w:val="0"/>
          <w:caps w:val="0"/>
          <w:color w:val="000000"/>
          <w:spacing w:val="0"/>
          <w:sz w:val="32"/>
          <w:szCs w:val="32"/>
          <w:shd w:val="clear" w:fill="FFFFFF"/>
        </w:rPr>
        <w:t>主要原因：</w:t>
      </w:r>
      <w:r>
        <w:rPr>
          <w:rFonts w:hint="eastAsia" w:asciiTheme="minorEastAsia" w:hAnsiTheme="minorEastAsia" w:cstheme="minorEastAsia"/>
          <w:i w:val="0"/>
          <w:iCs w:val="0"/>
          <w:caps w:val="0"/>
          <w:color w:val="000000"/>
          <w:spacing w:val="0"/>
          <w:sz w:val="32"/>
          <w:szCs w:val="32"/>
          <w:shd w:val="clear" w:fill="FFFFFF"/>
          <w:lang w:val="en-US" w:eastAsia="zh-CN"/>
        </w:rPr>
        <w:t>耕地地力保护补贴纳入预算，工资和社会保障费上涨。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3" w:firstLineChars="200"/>
        <w:jc w:val="both"/>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sz w:val="32"/>
          <w:szCs w:val="32"/>
          <w:shd w:val="clear" w:fill="FFFFFF"/>
        </w:rPr>
        <w:t>二、收入预算总体情况说明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xml:space="preserve">  </w:t>
      </w:r>
      <w:r>
        <w:rPr>
          <w:rFonts w:hint="eastAsia" w:asciiTheme="minorEastAsia" w:hAnsiTheme="minorEastAsia" w:eastAsiaTheme="minorEastAsia" w:cstheme="minorEastAsia"/>
          <w:spacing w:val="2"/>
          <w:kern w:val="0"/>
          <w:sz w:val="32"/>
          <w:szCs w:val="32"/>
          <w:highlight w:val="none"/>
          <w:lang w:val="en-US" w:eastAsia="zh-CN"/>
        </w:rPr>
        <w:t>农业农村</w:t>
      </w:r>
      <w:r>
        <w:rPr>
          <w:rFonts w:hint="eastAsia" w:asciiTheme="minorEastAsia" w:hAnsiTheme="minorEastAsia" w:eastAsiaTheme="minorEastAsia" w:cstheme="minorEastAsia"/>
          <w:spacing w:val="2"/>
          <w:kern w:val="0"/>
          <w:sz w:val="32"/>
          <w:szCs w:val="32"/>
          <w:highlight w:val="none"/>
        </w:rPr>
        <w:t>局</w:t>
      </w:r>
      <w:r>
        <w:rPr>
          <w:rFonts w:hint="eastAsia" w:asciiTheme="minorEastAsia" w:hAnsiTheme="minorEastAsia" w:eastAsiaTheme="minorEastAsia" w:cstheme="minorEastAsia"/>
          <w:i w:val="0"/>
          <w:iCs w:val="0"/>
          <w:caps w:val="0"/>
          <w:color w:val="333333"/>
          <w:spacing w:val="0"/>
          <w:sz w:val="32"/>
          <w:szCs w:val="32"/>
          <w:shd w:val="clear" w:fill="FFFFFF"/>
        </w:rPr>
        <w:t>2020年收入总计9895.4万元，其中：一般公共预算收入9895.4万元；政府性基金预算收入0万元。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3" w:firstLineChars="200"/>
        <w:jc w:val="both"/>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sz w:val="32"/>
          <w:szCs w:val="32"/>
          <w:shd w:val="clear" w:fill="FFFFFF"/>
        </w:rPr>
        <w:t>三、支出预算总体情况说明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w:t>
      </w:r>
      <w:r>
        <w:rPr>
          <w:rFonts w:hint="eastAsia" w:asciiTheme="minorEastAsia" w:hAnsiTheme="minorEastAsia" w:eastAsiaTheme="minorEastAsia" w:cstheme="minorEastAsia"/>
          <w:spacing w:val="2"/>
          <w:kern w:val="0"/>
          <w:sz w:val="32"/>
          <w:szCs w:val="32"/>
          <w:highlight w:val="none"/>
          <w:lang w:val="en-US" w:eastAsia="zh-CN"/>
        </w:rPr>
        <w:t>农业农村</w:t>
      </w:r>
      <w:r>
        <w:rPr>
          <w:rFonts w:hint="eastAsia" w:asciiTheme="minorEastAsia" w:hAnsiTheme="minorEastAsia" w:eastAsiaTheme="minorEastAsia" w:cstheme="minorEastAsia"/>
          <w:spacing w:val="2"/>
          <w:kern w:val="0"/>
          <w:sz w:val="32"/>
          <w:szCs w:val="32"/>
          <w:highlight w:val="none"/>
        </w:rPr>
        <w:t>局</w:t>
      </w:r>
      <w:r>
        <w:rPr>
          <w:rFonts w:hint="eastAsia" w:asciiTheme="minorEastAsia" w:hAnsiTheme="minorEastAsia" w:eastAsiaTheme="minorEastAsia" w:cstheme="minorEastAsia"/>
          <w:i w:val="0"/>
          <w:iCs w:val="0"/>
          <w:caps w:val="0"/>
          <w:color w:val="333333"/>
          <w:spacing w:val="0"/>
          <w:sz w:val="32"/>
          <w:szCs w:val="32"/>
          <w:shd w:val="clear" w:fill="FFFFFF"/>
        </w:rPr>
        <w:t>2020年支出总计9895.4万元，其中：基本支出1556.5万元，占总支出的15.7%；项目支出8338.9万元，占总支出的84.3 %。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3" w:firstLineChars="200"/>
        <w:jc w:val="both"/>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sz w:val="32"/>
          <w:szCs w:val="32"/>
          <w:shd w:val="clear" w:fill="FFFFFF"/>
        </w:rPr>
        <w:t>四、财政拨款收入支出预算总体情况说明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heme="minorEastAsia" w:hAnsiTheme="minorEastAsia" w:eastAsiaTheme="minorEastAsia" w:cstheme="minorEastAsia"/>
          <w:i w:val="0"/>
          <w:iCs w:val="0"/>
          <w:caps w:val="0"/>
          <w:color w:val="333333"/>
          <w:spacing w:val="0"/>
          <w:sz w:val="32"/>
          <w:szCs w:val="32"/>
          <w:lang w:val="en-US" w:eastAsia="zh-CN"/>
        </w:rPr>
      </w:pPr>
      <w:r>
        <w:rPr>
          <w:rFonts w:hint="eastAsia" w:asciiTheme="minorEastAsia" w:hAnsiTheme="minorEastAsia" w:eastAsiaTheme="minorEastAsia" w:cstheme="minorEastAsia"/>
          <w:i w:val="0"/>
          <w:iCs w:val="0"/>
          <w:caps w:val="0"/>
          <w:color w:val="333333"/>
          <w:spacing w:val="0"/>
          <w:sz w:val="32"/>
          <w:szCs w:val="32"/>
          <w:shd w:val="clear" w:fill="FFFFFF"/>
        </w:rPr>
        <w:t xml:space="preserve">  </w:t>
      </w:r>
      <w:r>
        <w:rPr>
          <w:rFonts w:hint="eastAsia" w:asciiTheme="minorEastAsia" w:hAnsiTheme="minorEastAsia" w:eastAsiaTheme="minorEastAsia" w:cstheme="minorEastAsia"/>
          <w:spacing w:val="2"/>
          <w:kern w:val="0"/>
          <w:sz w:val="32"/>
          <w:szCs w:val="32"/>
          <w:highlight w:val="none"/>
          <w:lang w:val="en-US" w:eastAsia="zh-CN"/>
        </w:rPr>
        <w:t>农业农村</w:t>
      </w:r>
      <w:r>
        <w:rPr>
          <w:rFonts w:hint="eastAsia" w:asciiTheme="minorEastAsia" w:hAnsiTheme="minorEastAsia" w:eastAsiaTheme="minorEastAsia" w:cstheme="minorEastAsia"/>
          <w:spacing w:val="2"/>
          <w:kern w:val="0"/>
          <w:sz w:val="32"/>
          <w:szCs w:val="32"/>
          <w:highlight w:val="none"/>
        </w:rPr>
        <w:t>局</w:t>
      </w:r>
      <w:r>
        <w:rPr>
          <w:rFonts w:hint="eastAsia" w:asciiTheme="minorEastAsia" w:hAnsiTheme="minorEastAsia" w:eastAsiaTheme="minorEastAsia" w:cstheme="minorEastAsia"/>
          <w:i w:val="0"/>
          <w:iCs w:val="0"/>
          <w:caps w:val="0"/>
          <w:color w:val="333333"/>
          <w:spacing w:val="0"/>
          <w:sz w:val="32"/>
          <w:szCs w:val="32"/>
          <w:shd w:val="clear" w:fill="FFFFFF"/>
        </w:rPr>
        <w:t>2020年财政拨款收入9871.4万元，支出9871.4万元；</w:t>
      </w:r>
      <w:r>
        <w:rPr>
          <w:rFonts w:hint="eastAsia" w:asciiTheme="minorEastAsia" w:hAnsiTheme="minorEastAsia" w:eastAsiaTheme="minorEastAsia" w:cstheme="minorEastAsia"/>
          <w:sz w:val="32"/>
          <w:szCs w:val="32"/>
          <w:highlight w:val="none"/>
        </w:rPr>
        <w:t>与</w:t>
      </w:r>
      <w:r>
        <w:rPr>
          <w:rFonts w:hint="eastAsia" w:asciiTheme="minorEastAsia" w:hAnsiTheme="minorEastAsia" w:eastAsiaTheme="minorEastAsia" w:cstheme="minorEastAsia"/>
          <w:sz w:val="32"/>
          <w:szCs w:val="32"/>
          <w:highlight w:val="none"/>
          <w:lang w:eastAsia="zh-CN"/>
        </w:rPr>
        <w:t>上</w:t>
      </w:r>
      <w:r>
        <w:rPr>
          <w:rFonts w:hint="eastAsia" w:asciiTheme="minorEastAsia" w:hAnsiTheme="minorEastAsia" w:eastAsiaTheme="minorEastAsia" w:cstheme="minorEastAsia"/>
          <w:sz w:val="32"/>
          <w:szCs w:val="32"/>
          <w:highlight w:val="none"/>
        </w:rPr>
        <w:t>年相比</w:t>
      </w:r>
      <w:r>
        <w:rPr>
          <w:rFonts w:hint="eastAsia" w:asciiTheme="minorEastAsia" w:hAnsiTheme="minorEastAsia" w:eastAsiaTheme="minorEastAsia" w:cstheme="minorEastAsia"/>
          <w:i w:val="0"/>
          <w:iCs w:val="0"/>
          <w:caps w:val="0"/>
          <w:color w:val="333333"/>
          <w:spacing w:val="0"/>
          <w:sz w:val="32"/>
          <w:szCs w:val="32"/>
          <w:shd w:val="clear" w:fill="FFFFFF"/>
        </w:rPr>
        <w:t>，财政拨款收支增加7045.2万元，增加249.3%</w:t>
      </w:r>
      <w:r>
        <w:rPr>
          <w:rFonts w:hint="eastAsia" w:asciiTheme="minorEastAsia" w:hAnsiTheme="minorEastAsia" w:cstheme="minorEastAsia"/>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主要原因：</w:t>
      </w:r>
      <w:r>
        <w:rPr>
          <w:rFonts w:hint="eastAsia" w:asciiTheme="minorEastAsia" w:hAnsiTheme="minorEastAsia" w:cstheme="minorEastAsia"/>
          <w:i w:val="0"/>
          <w:iCs w:val="0"/>
          <w:caps w:val="0"/>
          <w:color w:val="000000"/>
          <w:spacing w:val="0"/>
          <w:sz w:val="32"/>
          <w:szCs w:val="32"/>
          <w:shd w:val="clear" w:fill="FFFFFF"/>
          <w:lang w:val="en-US" w:eastAsia="zh-CN"/>
        </w:rPr>
        <w:t>耕地地力保护补贴纳入预算，工资和社会保障费上涨。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3" w:firstLineChars="200"/>
        <w:jc w:val="both"/>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sz w:val="32"/>
          <w:szCs w:val="32"/>
          <w:shd w:val="clear" w:fill="FFFFFF"/>
        </w:rPr>
        <w:t>五、一般公共预算支出预算总体情况说明</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Chars="0" w:right="0" w:rightChars="0"/>
        <w:jc w:val="both"/>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pPr>
      <w:r>
        <w:rPr>
          <w:rFonts w:hint="eastAsia" w:ascii="微软雅黑" w:hAnsi="微软雅黑" w:eastAsia="微软雅黑" w:cs="微软雅黑"/>
          <w:i w:val="0"/>
          <w:iCs w:val="0"/>
          <w:caps w:val="0"/>
          <w:color w:val="333333"/>
          <w:spacing w:val="0"/>
          <w:sz w:val="24"/>
          <w:szCs w:val="24"/>
          <w:shd w:val="clear" w:fill="FFFFFF"/>
        </w:rPr>
        <w:t> </w:t>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spacing w:val="2"/>
          <w:kern w:val="0"/>
          <w:sz w:val="32"/>
          <w:szCs w:val="32"/>
          <w:highlight w:val="none"/>
          <w:lang w:val="en-US" w:eastAsia="zh-CN"/>
        </w:rPr>
        <w:t>农业农村</w:t>
      </w:r>
      <w:r>
        <w:rPr>
          <w:rFonts w:hint="eastAsia" w:asciiTheme="minorEastAsia" w:hAnsiTheme="minorEastAsia" w:eastAsiaTheme="minorEastAsia" w:cstheme="minorEastAsia"/>
          <w:spacing w:val="2"/>
          <w:kern w:val="0"/>
          <w:sz w:val="32"/>
          <w:szCs w:val="32"/>
          <w:highlight w:val="none"/>
        </w:rPr>
        <w:t>局</w:t>
      </w:r>
      <w:r>
        <w:rPr>
          <w:rFonts w:hint="eastAsia" w:asciiTheme="minorEastAsia" w:hAnsiTheme="minorEastAsia" w:eastAsiaTheme="minorEastAsia" w:cstheme="minorEastAsia"/>
          <w:b w:val="0"/>
          <w:bCs w:val="0"/>
          <w:i w:val="0"/>
          <w:iCs w:val="0"/>
          <w:caps w:val="0"/>
          <w:color w:val="333333"/>
          <w:spacing w:val="0"/>
          <w:sz w:val="32"/>
          <w:szCs w:val="32"/>
          <w:shd w:val="clear" w:fill="FFFFFF"/>
        </w:rPr>
        <w:t>2020年一般公共预算支出年初预算9895.4万元。</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主要用于以下方面：</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Chars="0" w:right="0" w:rightChars="0" w:firstLine="640" w:firstLineChars="200"/>
        <w:jc w:val="both"/>
        <w:rPr>
          <w:rFonts w:hint="eastAsia" w:asciiTheme="minorEastAsia" w:hAnsiTheme="minorEastAsia" w:cstheme="minorEastAsia"/>
          <w:i w:val="0"/>
          <w:iCs w:val="0"/>
          <w:caps w:val="0"/>
          <w:color w:val="000000"/>
          <w:spacing w:val="0"/>
          <w:kern w:val="0"/>
          <w:sz w:val="32"/>
          <w:szCs w:val="32"/>
          <w:shd w:val="clear" w:fill="FFFFFF"/>
          <w:lang w:val="en-US" w:eastAsia="zh-CN" w:bidi="ar"/>
        </w:rPr>
      </w:pPr>
      <w:r>
        <w:rPr>
          <w:rFonts w:hint="eastAsia" w:asciiTheme="minorEastAsia" w:hAnsiTheme="minorEastAsia" w:cstheme="minorEastAsia"/>
          <w:i w:val="0"/>
          <w:iCs w:val="0"/>
          <w:caps w:val="0"/>
          <w:color w:val="000000"/>
          <w:spacing w:val="0"/>
          <w:kern w:val="0"/>
          <w:sz w:val="32"/>
          <w:szCs w:val="32"/>
          <w:shd w:val="clear" w:fill="FFFFFF"/>
          <w:lang w:val="en-US" w:eastAsia="zh-CN" w:bidi="ar"/>
        </w:rPr>
        <w:t>社会保障和就业类支出139.87</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万元</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占</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1.4</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Chars="0" w:right="0" w:rightChars="0" w:firstLine="640" w:firstLineChars="200"/>
        <w:jc w:val="both"/>
        <w:rPr>
          <w:rFonts w:hint="eastAsia" w:asciiTheme="minorEastAsia" w:hAnsiTheme="minorEastAsia" w:cstheme="minorEastAsia"/>
          <w:i w:val="0"/>
          <w:iCs w:val="0"/>
          <w:caps w:val="0"/>
          <w:color w:val="000000"/>
          <w:spacing w:val="0"/>
          <w:kern w:val="0"/>
          <w:sz w:val="32"/>
          <w:szCs w:val="32"/>
          <w:shd w:val="clear" w:fill="FFFFFF"/>
          <w:lang w:val="en-US" w:eastAsia="zh-CN" w:bidi="ar"/>
        </w:rPr>
      </w:pPr>
      <w:r>
        <w:rPr>
          <w:rFonts w:hint="eastAsia" w:asciiTheme="minorEastAsia" w:hAnsiTheme="minorEastAsia" w:cstheme="minorEastAsia"/>
          <w:i w:val="0"/>
          <w:iCs w:val="0"/>
          <w:caps w:val="0"/>
          <w:color w:val="000000"/>
          <w:spacing w:val="0"/>
          <w:kern w:val="0"/>
          <w:sz w:val="32"/>
          <w:szCs w:val="32"/>
          <w:shd w:val="clear" w:fill="FFFFFF"/>
          <w:lang w:val="en-US" w:eastAsia="zh-CN" w:bidi="ar"/>
        </w:rPr>
        <w:t>医疗卫生与计划生育类支出63.12</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万元</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占</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0.6</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Chars="0" w:right="0" w:rightChars="0" w:firstLine="640" w:firstLineChars="200"/>
        <w:jc w:val="both"/>
        <w:rPr>
          <w:rFonts w:hint="eastAsia" w:asciiTheme="minorEastAsia" w:hAnsiTheme="minorEastAsia" w:cstheme="minorEastAsia"/>
          <w:i w:val="0"/>
          <w:iCs w:val="0"/>
          <w:caps w:val="0"/>
          <w:color w:val="000000"/>
          <w:spacing w:val="0"/>
          <w:kern w:val="0"/>
          <w:sz w:val="32"/>
          <w:szCs w:val="32"/>
          <w:shd w:val="clear" w:fill="FFFFFF"/>
          <w:lang w:val="en-US" w:eastAsia="zh-CN" w:bidi="ar"/>
        </w:rPr>
      </w:pPr>
      <w:r>
        <w:rPr>
          <w:rFonts w:hint="eastAsia" w:asciiTheme="minorEastAsia" w:hAnsiTheme="minorEastAsia" w:cstheme="minorEastAsia"/>
          <w:i w:val="0"/>
          <w:iCs w:val="0"/>
          <w:caps w:val="0"/>
          <w:color w:val="000000"/>
          <w:spacing w:val="0"/>
          <w:kern w:val="0"/>
          <w:sz w:val="32"/>
          <w:szCs w:val="32"/>
          <w:shd w:val="clear" w:fill="FFFFFF"/>
          <w:lang w:val="en-US" w:eastAsia="zh-CN" w:bidi="ar"/>
        </w:rPr>
        <w:t>农林水类支出9601.92</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万元</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占</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97</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Chars="0" w:right="0" w:rightChars="0" w:firstLine="640" w:firstLineChars="200"/>
        <w:jc w:val="both"/>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pPr>
      <w:r>
        <w:rPr>
          <w:rFonts w:hint="eastAsia" w:asciiTheme="minorEastAsia" w:hAnsiTheme="minorEastAsia" w:cstheme="minorEastAsia"/>
          <w:i w:val="0"/>
          <w:iCs w:val="0"/>
          <w:caps w:val="0"/>
          <w:color w:val="000000"/>
          <w:spacing w:val="0"/>
          <w:kern w:val="0"/>
          <w:sz w:val="32"/>
          <w:szCs w:val="32"/>
          <w:shd w:val="clear" w:fill="FFFFFF"/>
          <w:lang w:val="en-US" w:eastAsia="zh-CN" w:bidi="ar"/>
        </w:rPr>
        <w:t>住房保障类支出90.47</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万元</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占</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1</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sz w:val="32"/>
          <w:szCs w:val="32"/>
          <w:shd w:val="clear" w:fill="FFFFFF"/>
        </w:rPr>
        <w:t>六、支出预算经济分类情况说明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Theme="minorEastAsia" w:hAnsiTheme="minorEastAsia" w:eastAsiaTheme="minorEastAsia" w:cstheme="minorEastAsia"/>
          <w:i w:val="0"/>
          <w:iCs w:val="0"/>
          <w:caps w:val="0"/>
          <w:color w:val="333333"/>
          <w:spacing w:val="0"/>
          <w:sz w:val="32"/>
          <w:szCs w:val="32"/>
          <w:shd w:val="clear" w:fill="FFFFFF"/>
        </w:rPr>
      </w:pPr>
      <w:r>
        <w:rPr>
          <w:rFonts w:hint="eastAsia" w:ascii="微软雅黑" w:hAnsi="微软雅黑" w:eastAsia="微软雅黑" w:cs="微软雅黑"/>
          <w:i w:val="0"/>
          <w:iCs w:val="0"/>
          <w:caps w:val="0"/>
          <w:color w:val="333333"/>
          <w:spacing w:val="0"/>
          <w:sz w:val="24"/>
          <w:szCs w:val="24"/>
          <w:shd w:val="clear" w:fill="FFFFFF"/>
        </w:rPr>
        <w:t> </w:t>
      </w:r>
      <w:r>
        <w:rPr>
          <w:rFonts w:hint="eastAsia" w:asciiTheme="minorEastAsia" w:hAnsiTheme="minorEastAsia" w:eastAsiaTheme="minorEastAsia" w:cstheme="minorEastAsia"/>
          <w:i w:val="0"/>
          <w:iCs w:val="0"/>
          <w:caps w:val="0"/>
          <w:color w:val="333333"/>
          <w:spacing w:val="0"/>
          <w:sz w:val="32"/>
          <w:szCs w:val="32"/>
          <w:shd w:val="clear" w:fill="FFFFFF"/>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局《支出经济分类汇总表》按两套经济分类科目分别反映不同资金来源的全部预算支出。本单位预算支出经济分类：基本支出（行政人员经费、事业人员经费、公用支出）、项目支出（一般性项目支出、专项支出、事业发展专项支出）。</w:t>
      </w:r>
    </w:p>
    <w:p>
      <w:pPr>
        <w:ind w:firstLine="648" w:firstLineChars="20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pacing w:val="2"/>
          <w:kern w:val="0"/>
          <w:sz w:val="32"/>
          <w:szCs w:val="32"/>
          <w:highlight w:val="none"/>
          <w:lang w:val="en-US" w:eastAsia="zh-CN"/>
        </w:rPr>
        <w:t>农业农村</w:t>
      </w:r>
      <w:r>
        <w:rPr>
          <w:rFonts w:hint="eastAsia" w:asciiTheme="minorEastAsia" w:hAnsiTheme="minorEastAsia" w:eastAsiaTheme="minorEastAsia" w:cstheme="minorEastAsia"/>
          <w:sz w:val="32"/>
          <w:szCs w:val="32"/>
          <w:highlight w:val="none"/>
          <w:lang w:val="en-US" w:eastAsia="zh-CN"/>
        </w:rPr>
        <w:t>局20</w:t>
      </w:r>
      <w:r>
        <w:rPr>
          <w:rFonts w:hint="eastAsia" w:asciiTheme="minorEastAsia" w:hAnsiTheme="minorEastAsia" w:cstheme="minorEastAsia"/>
          <w:sz w:val="32"/>
          <w:szCs w:val="32"/>
          <w:highlight w:val="none"/>
          <w:lang w:val="en-US" w:eastAsia="zh-CN"/>
        </w:rPr>
        <w:t>20</w:t>
      </w:r>
      <w:r>
        <w:rPr>
          <w:rFonts w:hint="eastAsia" w:asciiTheme="minorEastAsia" w:hAnsiTheme="minorEastAsia" w:eastAsiaTheme="minorEastAsia" w:cstheme="minorEastAsia"/>
          <w:sz w:val="32"/>
          <w:szCs w:val="32"/>
          <w:highlight w:val="none"/>
          <w:lang w:val="en-US" w:eastAsia="zh-CN"/>
        </w:rPr>
        <w:t>年一般公共预算基本支出</w:t>
      </w:r>
      <w:r>
        <w:rPr>
          <w:rFonts w:hint="eastAsia" w:asciiTheme="minorEastAsia" w:hAnsiTheme="minorEastAsia" w:eastAsiaTheme="minorEastAsia" w:cstheme="minorEastAsia"/>
          <w:b w:val="0"/>
          <w:bCs w:val="0"/>
          <w:i w:val="0"/>
          <w:iCs w:val="0"/>
          <w:caps w:val="0"/>
          <w:color w:val="333333"/>
          <w:spacing w:val="0"/>
          <w:sz w:val="32"/>
          <w:szCs w:val="32"/>
          <w:shd w:val="clear" w:fill="FFFFFF"/>
        </w:rPr>
        <w:t>1556.</w:t>
      </w:r>
      <w:r>
        <w:rPr>
          <w:rFonts w:hint="eastAsia" w:asciiTheme="minorEastAsia" w:hAnsiTheme="minorEastAsia" w:cstheme="minorEastAsia"/>
          <w:b w:val="0"/>
          <w:bCs w:val="0"/>
          <w:i w:val="0"/>
          <w:iCs w:val="0"/>
          <w:caps w:val="0"/>
          <w:color w:val="333333"/>
          <w:spacing w:val="0"/>
          <w:sz w:val="32"/>
          <w:szCs w:val="32"/>
          <w:shd w:val="clear" w:fill="FFFFFF"/>
          <w:lang w:val="en-US" w:eastAsia="zh-CN"/>
        </w:rPr>
        <w:t>5</w:t>
      </w:r>
      <w:r>
        <w:rPr>
          <w:rFonts w:hint="eastAsia" w:asciiTheme="minorEastAsia" w:hAnsiTheme="minorEastAsia" w:eastAsiaTheme="minorEastAsia" w:cstheme="minorEastAsia"/>
          <w:sz w:val="32"/>
          <w:szCs w:val="32"/>
          <w:highlight w:val="none"/>
          <w:lang w:val="en-US" w:eastAsia="zh-CN"/>
        </w:rPr>
        <w:t>万元，其中：人员经费</w:t>
      </w:r>
      <w:r>
        <w:rPr>
          <w:rFonts w:hint="eastAsia" w:asciiTheme="minorEastAsia" w:hAnsiTheme="minorEastAsia" w:cstheme="minorEastAsia"/>
          <w:sz w:val="32"/>
          <w:szCs w:val="32"/>
          <w:highlight w:val="none"/>
          <w:lang w:val="en-US" w:eastAsia="zh-CN"/>
        </w:rPr>
        <w:t>1505.2</w:t>
      </w:r>
      <w:r>
        <w:rPr>
          <w:rFonts w:hint="eastAsia" w:asciiTheme="minorEastAsia" w:hAnsiTheme="minorEastAsia" w:eastAsiaTheme="minorEastAsia" w:cstheme="minorEastAsia"/>
          <w:sz w:val="32"/>
          <w:szCs w:val="32"/>
          <w:highlight w:val="none"/>
          <w:lang w:val="en-US" w:eastAsia="zh-CN"/>
        </w:rPr>
        <w:t>万元，主要包括：基本工资、津贴补贴、奖金、社会保障缴费、伙食补助费、绩效工资、其他工资福利支出、离休费、退休费、退职（役）费、抚恤金、生活补助、医疗费、助学金、奖励金、住房公积金、提租补贴、购房补贴、其他对个人和家庭的补助支出；公用经费</w:t>
      </w:r>
      <w:r>
        <w:rPr>
          <w:rFonts w:hint="eastAsia" w:asciiTheme="minorEastAsia" w:hAnsiTheme="minorEastAsia" w:cstheme="minorEastAsia"/>
          <w:sz w:val="32"/>
          <w:szCs w:val="32"/>
          <w:highlight w:val="none"/>
          <w:lang w:val="en-US" w:eastAsia="zh-CN"/>
        </w:rPr>
        <w:t>51.3</w:t>
      </w:r>
      <w:r>
        <w:rPr>
          <w:rFonts w:hint="eastAsia" w:asciiTheme="minorEastAsia" w:hAnsiTheme="minorEastAsia" w:eastAsiaTheme="minorEastAsia" w:cstheme="minorEastAsia"/>
          <w:sz w:val="32"/>
          <w:szCs w:val="32"/>
          <w:highlight w:val="none"/>
          <w:lang w:val="en-US" w:eastAsia="zh-CN"/>
        </w:rPr>
        <w:t>万元，主要包括：办公费、印刷费、咨询费、手续费、水费、电费、邮电费、取暖费、物业管理费、差旅费、因公出国（境）费、维 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3" w:firstLineChars="200"/>
        <w:jc w:val="both"/>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000000"/>
          <w:spacing w:val="0"/>
          <w:kern w:val="0"/>
          <w:sz w:val="32"/>
          <w:szCs w:val="32"/>
          <w:shd w:val="clear" w:fill="FFFFFF"/>
          <w:lang w:val="en-US" w:eastAsia="zh-CN" w:bidi="ar"/>
        </w:rPr>
        <w:t>七、政府性基金预算支出情况说明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我局20</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20</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年没有使用政府性基金预算拨款安排的支出。</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3" w:firstLineChars="200"/>
        <w:jc w:val="both"/>
        <w:rPr>
          <w:rFonts w:hint="eastAsia" w:ascii="微软雅黑" w:hAnsi="微软雅黑" w:eastAsia="微软雅黑" w:cs="微软雅黑"/>
          <w:i w:val="0"/>
          <w:iCs w:val="0"/>
          <w:caps w:val="0"/>
          <w:color w:val="333333"/>
          <w:spacing w:val="0"/>
          <w:sz w:val="24"/>
          <w:szCs w:val="24"/>
          <w:shd w:val="clear" w:fill="FFFFFF"/>
        </w:rPr>
      </w:pPr>
      <w:r>
        <w:rPr>
          <w:rFonts w:hint="eastAsia" w:asciiTheme="minorEastAsia" w:hAnsiTheme="minorEastAsia" w:eastAsiaTheme="minorEastAsia" w:cstheme="minorEastAsia"/>
          <w:b/>
          <w:bCs/>
          <w:i w:val="0"/>
          <w:iCs w:val="0"/>
          <w:caps w:val="0"/>
          <w:color w:val="000000"/>
          <w:spacing w:val="0"/>
          <w:kern w:val="0"/>
          <w:sz w:val="32"/>
          <w:szCs w:val="32"/>
          <w:shd w:val="clear" w:fill="FFFFFF"/>
          <w:lang w:val="en-US" w:eastAsia="zh-CN" w:bidi="ar"/>
        </w:rPr>
        <w:t>“三公”经费支出预算情况说明</w:t>
      </w:r>
      <w:r>
        <w:rPr>
          <w:rFonts w:hint="eastAsia" w:ascii="微软雅黑" w:hAnsi="微软雅黑" w:eastAsia="微软雅黑" w:cs="微软雅黑"/>
          <w:i w:val="0"/>
          <w:iCs w:val="0"/>
          <w:caps w:val="0"/>
          <w:color w:val="333333"/>
          <w:spacing w:val="0"/>
          <w:sz w:val="24"/>
          <w:szCs w:val="24"/>
          <w:shd w:val="clear" w:fill="FFFFFF"/>
        </w:rPr>
        <w:t xml:space="preserve">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ightChars="0" w:firstLine="640" w:firstLineChars="200"/>
        <w:jc w:val="both"/>
        <w:rPr>
          <w:rFonts w:hint="eastAsia" w:asciiTheme="minorEastAsia" w:hAnsiTheme="minorEastAsia" w:eastAsiaTheme="minorEastAsia" w:cstheme="minorEastAsia"/>
          <w:b w:val="0"/>
          <w:bCs w:val="0"/>
          <w:i w:val="0"/>
          <w:iCs w:val="0"/>
          <w:caps w:val="0"/>
          <w:color w:val="333333"/>
          <w:spacing w:val="0"/>
          <w:sz w:val="32"/>
          <w:szCs w:val="32"/>
        </w:rPr>
      </w:pPr>
      <w:r>
        <w:rPr>
          <w:rFonts w:hint="eastAsia" w:asciiTheme="minorEastAsia" w:hAnsiTheme="minorEastAsia" w:eastAsiaTheme="minorEastAsia" w:cstheme="minorEastAsia"/>
          <w:b w:val="0"/>
          <w:bCs w:val="0"/>
          <w:i w:val="0"/>
          <w:iCs w:val="0"/>
          <w:caps w:val="0"/>
          <w:color w:val="333333"/>
          <w:spacing w:val="0"/>
          <w:sz w:val="32"/>
          <w:szCs w:val="32"/>
          <w:shd w:val="clear" w:fill="FFFFFF"/>
        </w:rPr>
        <w:t>我局2020年一般公共预算安排的“三公”经费预算为20.9万元。2020年“三公”经费支出预算数比2019年增加</w:t>
      </w:r>
      <w:r>
        <w:rPr>
          <w:rFonts w:hint="eastAsia" w:asciiTheme="minorEastAsia" w:hAnsiTheme="minorEastAsia" w:cstheme="minorEastAsia"/>
          <w:b w:val="0"/>
          <w:bCs w:val="0"/>
          <w:i w:val="0"/>
          <w:iCs w:val="0"/>
          <w:caps w:val="0"/>
          <w:color w:val="333333"/>
          <w:spacing w:val="0"/>
          <w:sz w:val="32"/>
          <w:szCs w:val="32"/>
          <w:shd w:val="clear" w:fill="FFFFFF"/>
          <w:lang w:val="en-US" w:eastAsia="zh-CN"/>
        </w:rPr>
        <w:t>3.6</w:t>
      </w:r>
      <w:r>
        <w:rPr>
          <w:rFonts w:hint="eastAsia" w:asciiTheme="minorEastAsia" w:hAnsiTheme="minorEastAsia" w:eastAsiaTheme="minorEastAsia" w:cstheme="minorEastAsia"/>
          <w:b w:val="0"/>
          <w:bCs w:val="0"/>
          <w:i w:val="0"/>
          <w:iCs w:val="0"/>
          <w:caps w:val="0"/>
          <w:color w:val="333333"/>
          <w:spacing w:val="0"/>
          <w:sz w:val="32"/>
          <w:szCs w:val="32"/>
          <w:shd w:val="clear" w:fill="FFFFFF"/>
        </w:rPr>
        <w:t>万元，增加</w:t>
      </w:r>
      <w:r>
        <w:rPr>
          <w:rFonts w:hint="eastAsia" w:asciiTheme="minorEastAsia" w:hAnsiTheme="minorEastAsia" w:cstheme="minorEastAsia"/>
          <w:b w:val="0"/>
          <w:bCs w:val="0"/>
          <w:i w:val="0"/>
          <w:iCs w:val="0"/>
          <w:caps w:val="0"/>
          <w:color w:val="333333"/>
          <w:spacing w:val="0"/>
          <w:sz w:val="32"/>
          <w:szCs w:val="32"/>
          <w:shd w:val="clear" w:fill="FFFFFF"/>
          <w:lang w:val="en-US" w:eastAsia="zh-CN"/>
        </w:rPr>
        <w:t>20.8</w:t>
      </w:r>
      <w:r>
        <w:rPr>
          <w:rFonts w:hint="eastAsia" w:asciiTheme="minorEastAsia" w:hAnsiTheme="minorEastAsia" w:eastAsiaTheme="minorEastAsia" w:cstheme="minorEastAsia"/>
          <w:b w:val="0"/>
          <w:bCs w:val="0"/>
          <w:i w:val="0"/>
          <w:iCs w:val="0"/>
          <w:caps w:val="0"/>
          <w:color w:val="333333"/>
          <w:spacing w:val="0"/>
          <w:sz w:val="32"/>
          <w:szCs w:val="32"/>
          <w:shd w:val="clear" w:fill="FFFFFF"/>
        </w:rPr>
        <w:t>%。主要原因：机构合并，单位增加，</w:t>
      </w:r>
      <w:r>
        <w:rPr>
          <w:rFonts w:hint="eastAsia" w:asciiTheme="minorEastAsia" w:hAnsiTheme="minorEastAsia" w:cstheme="minorEastAsia"/>
          <w:b w:val="0"/>
          <w:bCs w:val="0"/>
          <w:i w:val="0"/>
          <w:iCs w:val="0"/>
          <w:caps w:val="0"/>
          <w:color w:val="333333"/>
          <w:spacing w:val="0"/>
          <w:sz w:val="32"/>
          <w:szCs w:val="32"/>
          <w:shd w:val="clear" w:fill="FFFFFF"/>
          <w:lang w:val="en-US" w:eastAsia="zh-CN"/>
        </w:rPr>
        <w:t>业务量增加，</w:t>
      </w:r>
      <w:r>
        <w:rPr>
          <w:rFonts w:hint="eastAsia" w:asciiTheme="minorEastAsia" w:hAnsiTheme="minorEastAsia" w:eastAsiaTheme="minorEastAsia" w:cstheme="minorEastAsia"/>
          <w:b w:val="0"/>
          <w:bCs w:val="0"/>
          <w:i w:val="0"/>
          <w:iCs w:val="0"/>
          <w:caps w:val="0"/>
          <w:color w:val="333333"/>
          <w:spacing w:val="0"/>
          <w:sz w:val="32"/>
          <w:szCs w:val="32"/>
          <w:shd w:val="clear" w:fill="FFFFFF"/>
        </w:rPr>
        <w:t>支出</w:t>
      </w:r>
      <w:r>
        <w:rPr>
          <w:rFonts w:hint="eastAsia" w:asciiTheme="minorEastAsia" w:hAnsiTheme="minorEastAsia" w:cstheme="minorEastAsia"/>
          <w:b w:val="0"/>
          <w:bCs w:val="0"/>
          <w:i w:val="0"/>
          <w:iCs w:val="0"/>
          <w:caps w:val="0"/>
          <w:color w:val="333333"/>
          <w:spacing w:val="0"/>
          <w:sz w:val="32"/>
          <w:szCs w:val="32"/>
          <w:shd w:val="clear" w:fill="FFFFFF"/>
          <w:lang w:val="en-US" w:eastAsia="zh-CN"/>
        </w:rPr>
        <w:t>随之</w:t>
      </w:r>
      <w:r>
        <w:rPr>
          <w:rFonts w:hint="eastAsia" w:asciiTheme="minorEastAsia" w:hAnsiTheme="minorEastAsia" w:eastAsiaTheme="minorEastAsia" w:cstheme="minorEastAsia"/>
          <w:b w:val="0"/>
          <w:bCs w:val="0"/>
          <w:i w:val="0"/>
          <w:iCs w:val="0"/>
          <w:caps w:val="0"/>
          <w:color w:val="333333"/>
          <w:spacing w:val="0"/>
          <w:sz w:val="32"/>
          <w:szCs w:val="32"/>
          <w:shd w:val="clear" w:fill="FFFFFF"/>
        </w:rPr>
        <w:t>增加。</w:t>
      </w:r>
    </w:p>
    <w:p>
      <w:pPr>
        <w:kinsoku w:val="0"/>
        <w:overflowPunct w:val="0"/>
        <w:autoSpaceDE w:val="0"/>
        <w:autoSpaceDN w:val="0"/>
        <w:adjustRightInd w:val="0"/>
        <w:snapToGrid w:val="0"/>
        <w:spacing w:line="360" w:lineRule="auto"/>
        <w:ind w:firstLine="640" w:firstLineChars="200"/>
        <w:rPr>
          <w:rFonts w:hint="eastAsia" w:asciiTheme="minorEastAsia" w:hAnsiTheme="minorEastAsia" w:eastAsiaTheme="minorEastAsia" w:cstheme="minorEastAsia"/>
          <w:i w:val="0"/>
          <w:iCs w:val="0"/>
          <w:caps w:val="0"/>
          <w:color w:val="333333"/>
          <w:spacing w:val="0"/>
          <w:sz w:val="32"/>
          <w:szCs w:val="32"/>
          <w:shd w:val="clear" w:fill="FFFFFF"/>
        </w:rPr>
      </w:pPr>
      <w:r>
        <w:rPr>
          <w:rFonts w:hint="eastAsia" w:asciiTheme="minorEastAsia" w:hAnsiTheme="minorEastAsia" w:eastAsiaTheme="minorEastAsia" w:cstheme="minorEastAsia"/>
          <w:sz w:val="32"/>
          <w:szCs w:val="32"/>
        </w:rPr>
        <w:t>具体支出情况如下：</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360" w:leftChars="0" w:right="0" w:rightChars="0" w:firstLine="643" w:firstLineChars="200"/>
        <w:jc w:val="both"/>
        <w:rPr>
          <w:rFonts w:hint="eastAsia" w:asciiTheme="minorEastAsia" w:hAnsiTheme="minorEastAsia" w:eastAsiaTheme="minorEastAsia" w:cstheme="minorEastAsia"/>
          <w:i w:val="0"/>
          <w:iCs w:val="0"/>
          <w:caps w:val="0"/>
          <w:color w:val="333333"/>
          <w:spacing w:val="0"/>
          <w:sz w:val="32"/>
          <w:szCs w:val="32"/>
          <w:shd w:val="clear" w:fill="FFFFFF"/>
        </w:rPr>
      </w:pPr>
      <w:r>
        <w:rPr>
          <w:rFonts w:hint="eastAsia" w:asciiTheme="minorEastAsia" w:hAnsiTheme="minorEastAsia" w:cstheme="minorEastAsia"/>
          <w:b/>
          <w:bCs/>
          <w:i w:val="0"/>
          <w:iCs w:val="0"/>
          <w:caps w:val="0"/>
          <w:color w:val="333333"/>
          <w:spacing w:val="0"/>
          <w:sz w:val="32"/>
          <w:szCs w:val="32"/>
          <w:shd w:val="clear" w:fill="FFFFFF"/>
          <w:lang w:eastAsia="zh-CN"/>
        </w:rPr>
        <w:t>（</w:t>
      </w:r>
      <w:r>
        <w:rPr>
          <w:rFonts w:hint="eastAsia" w:asciiTheme="minorEastAsia" w:hAnsiTheme="minorEastAsia" w:cstheme="minorEastAsia"/>
          <w:b/>
          <w:bCs/>
          <w:i w:val="0"/>
          <w:iCs w:val="0"/>
          <w:caps w:val="0"/>
          <w:color w:val="333333"/>
          <w:spacing w:val="0"/>
          <w:sz w:val="32"/>
          <w:szCs w:val="32"/>
          <w:shd w:val="clear" w:fill="FFFFFF"/>
          <w:lang w:val="en-US" w:eastAsia="zh-CN"/>
        </w:rPr>
        <w:t>一</w:t>
      </w:r>
      <w:r>
        <w:rPr>
          <w:rFonts w:hint="eastAsia" w:asciiTheme="minorEastAsia" w:hAnsiTheme="minorEastAsia" w:cstheme="minorEastAsia"/>
          <w:b/>
          <w:bCs/>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b/>
          <w:bCs/>
          <w:i w:val="0"/>
          <w:iCs w:val="0"/>
          <w:caps w:val="0"/>
          <w:color w:val="333333"/>
          <w:spacing w:val="0"/>
          <w:sz w:val="32"/>
          <w:szCs w:val="32"/>
          <w:shd w:val="clear" w:fill="FFFFFF"/>
        </w:rPr>
        <w:t>因公出国（境）费</w:t>
      </w:r>
      <w:r>
        <w:rPr>
          <w:rFonts w:hint="eastAsia" w:asciiTheme="minorEastAsia" w:hAnsiTheme="minorEastAsia" w:eastAsiaTheme="minorEastAsia" w:cstheme="minorEastAsia"/>
          <w:i w:val="0"/>
          <w:iCs w:val="0"/>
          <w:caps w:val="0"/>
          <w:color w:val="333333"/>
          <w:spacing w:val="0"/>
          <w:sz w:val="32"/>
          <w:szCs w:val="32"/>
          <w:shd w:val="clear" w:fill="FFFFFF"/>
        </w:rPr>
        <w:t>0万元，主要用于单位工作人员公务出国（境）的住宿费、旅费、伙食补助费、杂费、培训费等支出。预算数比</w:t>
      </w:r>
      <w:r>
        <w:rPr>
          <w:rFonts w:hint="eastAsia" w:asciiTheme="minorEastAsia" w:hAnsiTheme="minorEastAsia" w:eastAsiaTheme="minorEastAsia" w:cstheme="minorEastAsia"/>
          <w:sz w:val="32"/>
          <w:szCs w:val="32"/>
          <w:lang w:eastAsia="zh-CN"/>
        </w:rPr>
        <w:t>上</w:t>
      </w:r>
      <w:r>
        <w:rPr>
          <w:rFonts w:hint="eastAsia" w:asciiTheme="minorEastAsia" w:hAnsiTheme="minorEastAsia" w:eastAsiaTheme="minorEastAsia" w:cstheme="minorEastAsia"/>
          <w:sz w:val="32"/>
          <w:szCs w:val="32"/>
        </w:rPr>
        <w:t>年</w:t>
      </w:r>
      <w:r>
        <w:rPr>
          <w:rFonts w:hint="eastAsia" w:asciiTheme="minorEastAsia" w:hAnsiTheme="minorEastAsia" w:eastAsiaTheme="minorEastAsia" w:cstheme="minorEastAsia"/>
          <w:i w:val="0"/>
          <w:iCs w:val="0"/>
          <w:caps w:val="0"/>
          <w:color w:val="333333"/>
          <w:spacing w:val="0"/>
          <w:sz w:val="32"/>
          <w:szCs w:val="32"/>
          <w:shd w:val="clear" w:fill="FFFFFF"/>
        </w:rPr>
        <w:t>减少0万元。</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360" w:leftChars="0" w:right="0" w:rightChars="0" w:firstLine="643" w:firstLineChars="20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sz w:val="32"/>
          <w:szCs w:val="32"/>
          <w:shd w:val="clear" w:fill="FFFFFF"/>
        </w:rPr>
        <w:t>（二）公务用车购置及运行费</w:t>
      </w:r>
      <w:r>
        <w:rPr>
          <w:rFonts w:hint="eastAsia" w:asciiTheme="minorEastAsia" w:hAnsiTheme="minorEastAsia" w:eastAsiaTheme="minorEastAsia" w:cstheme="minorEastAsia"/>
          <w:i w:val="0"/>
          <w:iCs w:val="0"/>
          <w:caps w:val="0"/>
          <w:color w:val="333333"/>
          <w:spacing w:val="0"/>
          <w:sz w:val="32"/>
          <w:szCs w:val="32"/>
          <w:shd w:val="clear" w:fill="FFFFFF"/>
        </w:rPr>
        <w:t>9.7万元，其中，公务用车购置费0万元；公务用车运行维护费9.7万元，主要用于开展工作所需公务用车的燃料费、维修费、过路过桥费、保险费等支出。公务用车购置费预算数与</w:t>
      </w:r>
      <w:r>
        <w:rPr>
          <w:rFonts w:hint="eastAsia" w:asciiTheme="minorEastAsia" w:hAnsiTheme="minorEastAsia" w:eastAsiaTheme="minorEastAsia" w:cstheme="minorEastAsia"/>
          <w:sz w:val="32"/>
          <w:szCs w:val="32"/>
          <w:lang w:eastAsia="zh-CN"/>
        </w:rPr>
        <w:t>上</w:t>
      </w:r>
      <w:r>
        <w:rPr>
          <w:rFonts w:hint="eastAsia" w:asciiTheme="minorEastAsia" w:hAnsiTheme="minorEastAsia" w:eastAsiaTheme="minorEastAsia" w:cstheme="minorEastAsia"/>
          <w:sz w:val="32"/>
          <w:szCs w:val="32"/>
        </w:rPr>
        <w:t>年</w:t>
      </w:r>
      <w:r>
        <w:rPr>
          <w:rFonts w:hint="eastAsia" w:asciiTheme="minorEastAsia" w:hAnsiTheme="minorEastAsia" w:eastAsiaTheme="minorEastAsia" w:cstheme="minorEastAsia"/>
          <w:i w:val="0"/>
          <w:iCs w:val="0"/>
          <w:caps w:val="0"/>
          <w:color w:val="333333"/>
          <w:spacing w:val="0"/>
          <w:sz w:val="32"/>
          <w:szCs w:val="32"/>
          <w:shd w:val="clear" w:fill="FFFFFF"/>
        </w:rPr>
        <w:t>相比无变化。公务用车运行维护费预算数比上年增加</w:t>
      </w:r>
      <w:r>
        <w:rPr>
          <w:rFonts w:hint="eastAsia" w:asciiTheme="minorEastAsia" w:hAnsiTheme="minorEastAsia" w:cstheme="minorEastAsia"/>
          <w:i w:val="0"/>
          <w:iCs w:val="0"/>
          <w:caps w:val="0"/>
          <w:color w:val="333333"/>
          <w:spacing w:val="0"/>
          <w:sz w:val="32"/>
          <w:szCs w:val="32"/>
          <w:shd w:val="clear" w:fill="FFFFFF"/>
          <w:lang w:val="en-US" w:eastAsia="zh-CN"/>
        </w:rPr>
        <w:t>2.4</w:t>
      </w:r>
      <w:r>
        <w:rPr>
          <w:rFonts w:hint="eastAsia" w:asciiTheme="minorEastAsia" w:hAnsiTheme="minorEastAsia" w:eastAsiaTheme="minorEastAsia" w:cstheme="minorEastAsia"/>
          <w:i w:val="0"/>
          <w:iCs w:val="0"/>
          <w:caps w:val="0"/>
          <w:color w:val="333333"/>
          <w:spacing w:val="0"/>
          <w:sz w:val="32"/>
          <w:szCs w:val="32"/>
          <w:shd w:val="clear" w:fill="FFFFFF"/>
        </w:rPr>
        <w:t>万元，增加</w:t>
      </w:r>
      <w:r>
        <w:rPr>
          <w:rFonts w:hint="eastAsia" w:asciiTheme="minorEastAsia" w:hAnsiTheme="minorEastAsia" w:cstheme="minorEastAsia"/>
          <w:i w:val="0"/>
          <w:iCs w:val="0"/>
          <w:caps w:val="0"/>
          <w:color w:val="333333"/>
          <w:spacing w:val="0"/>
          <w:sz w:val="32"/>
          <w:szCs w:val="32"/>
          <w:shd w:val="clear" w:fill="FFFFFF"/>
          <w:lang w:val="en-US" w:eastAsia="zh-CN"/>
        </w:rPr>
        <w:t>32.8</w:t>
      </w:r>
      <w:r>
        <w:rPr>
          <w:rFonts w:hint="eastAsia" w:asciiTheme="minorEastAsia" w:hAnsiTheme="minorEastAsia" w:eastAsiaTheme="minorEastAsia" w:cstheme="minorEastAsia"/>
          <w:i w:val="0"/>
          <w:iCs w:val="0"/>
          <w:caps w:val="0"/>
          <w:color w:val="333333"/>
          <w:spacing w:val="0"/>
          <w:sz w:val="32"/>
          <w:szCs w:val="32"/>
          <w:shd w:val="clear" w:fill="FFFFFF"/>
        </w:rPr>
        <w:t>%。主要原因:机构合并，单位增加，</w:t>
      </w:r>
      <w:r>
        <w:rPr>
          <w:rFonts w:hint="eastAsia" w:asciiTheme="minorEastAsia" w:hAnsiTheme="minorEastAsia" w:cstheme="minorEastAsia"/>
          <w:b w:val="0"/>
          <w:bCs w:val="0"/>
          <w:i w:val="0"/>
          <w:iCs w:val="0"/>
          <w:caps w:val="0"/>
          <w:color w:val="333333"/>
          <w:spacing w:val="0"/>
          <w:sz w:val="32"/>
          <w:szCs w:val="32"/>
          <w:shd w:val="clear" w:fill="FFFFFF"/>
          <w:lang w:val="en-US" w:eastAsia="zh-CN"/>
        </w:rPr>
        <w:t>业务量增加，</w:t>
      </w:r>
      <w:r>
        <w:rPr>
          <w:rFonts w:hint="eastAsia" w:asciiTheme="minorEastAsia" w:hAnsiTheme="minorEastAsia" w:eastAsiaTheme="minorEastAsia" w:cstheme="minorEastAsia"/>
          <w:b w:val="0"/>
          <w:bCs w:val="0"/>
          <w:i w:val="0"/>
          <w:iCs w:val="0"/>
          <w:caps w:val="0"/>
          <w:color w:val="333333"/>
          <w:spacing w:val="0"/>
          <w:sz w:val="32"/>
          <w:szCs w:val="32"/>
          <w:shd w:val="clear" w:fill="FFFFFF"/>
        </w:rPr>
        <w:t>支出</w:t>
      </w:r>
      <w:r>
        <w:rPr>
          <w:rFonts w:hint="eastAsia" w:asciiTheme="minorEastAsia" w:hAnsiTheme="minorEastAsia" w:cstheme="minorEastAsia"/>
          <w:b w:val="0"/>
          <w:bCs w:val="0"/>
          <w:i w:val="0"/>
          <w:iCs w:val="0"/>
          <w:caps w:val="0"/>
          <w:color w:val="333333"/>
          <w:spacing w:val="0"/>
          <w:sz w:val="32"/>
          <w:szCs w:val="32"/>
          <w:shd w:val="clear" w:fill="FFFFFF"/>
          <w:lang w:val="en-US" w:eastAsia="zh-CN"/>
        </w:rPr>
        <w:t>随之</w:t>
      </w:r>
      <w:r>
        <w:rPr>
          <w:rFonts w:hint="eastAsia" w:asciiTheme="minorEastAsia" w:hAnsiTheme="minorEastAsia" w:eastAsiaTheme="minorEastAsia" w:cstheme="minorEastAsia"/>
          <w:b w:val="0"/>
          <w:bCs w:val="0"/>
          <w:i w:val="0"/>
          <w:iCs w:val="0"/>
          <w:caps w:val="0"/>
          <w:color w:val="333333"/>
          <w:spacing w:val="0"/>
          <w:sz w:val="32"/>
          <w:szCs w:val="32"/>
          <w:shd w:val="clear" w:fill="FFFFFF"/>
        </w:rPr>
        <w:t>增加。</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rightChars="0" w:firstLine="643" w:firstLineChars="20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sz w:val="32"/>
          <w:szCs w:val="32"/>
          <w:shd w:val="clear" w:fill="FFFFFF"/>
        </w:rPr>
        <w:t>（三）公务接待费</w:t>
      </w:r>
      <w:r>
        <w:rPr>
          <w:rFonts w:hint="eastAsia" w:asciiTheme="minorEastAsia" w:hAnsiTheme="minorEastAsia" w:eastAsiaTheme="minorEastAsia" w:cstheme="minorEastAsia"/>
          <w:i w:val="0"/>
          <w:iCs w:val="0"/>
          <w:caps w:val="0"/>
          <w:color w:val="333333"/>
          <w:spacing w:val="0"/>
          <w:sz w:val="32"/>
          <w:szCs w:val="32"/>
          <w:shd w:val="clear" w:fill="FFFFFF"/>
        </w:rPr>
        <w:t>11.2万元，主要用于按规定开支的各类公务接待（含外宾接待）支出。预算数比</w:t>
      </w:r>
      <w:r>
        <w:rPr>
          <w:rFonts w:hint="eastAsia" w:asciiTheme="minorEastAsia" w:hAnsiTheme="minorEastAsia" w:cstheme="minorEastAsia"/>
          <w:i w:val="0"/>
          <w:iCs w:val="0"/>
          <w:caps w:val="0"/>
          <w:color w:val="333333"/>
          <w:spacing w:val="0"/>
          <w:sz w:val="32"/>
          <w:szCs w:val="32"/>
          <w:shd w:val="clear" w:fill="FFFFFF"/>
          <w:lang w:val="en-US" w:eastAsia="zh-CN"/>
        </w:rPr>
        <w:t>上</w:t>
      </w:r>
      <w:r>
        <w:rPr>
          <w:rFonts w:hint="eastAsia" w:asciiTheme="minorEastAsia" w:hAnsiTheme="minorEastAsia" w:eastAsiaTheme="minorEastAsia" w:cstheme="minorEastAsia"/>
          <w:i w:val="0"/>
          <w:iCs w:val="0"/>
          <w:caps w:val="0"/>
          <w:color w:val="333333"/>
          <w:spacing w:val="0"/>
          <w:sz w:val="32"/>
          <w:szCs w:val="32"/>
          <w:shd w:val="clear" w:fill="FFFFFF"/>
        </w:rPr>
        <w:t>年增加</w:t>
      </w:r>
      <w:r>
        <w:rPr>
          <w:rFonts w:hint="eastAsia" w:asciiTheme="minorEastAsia" w:hAnsiTheme="minorEastAsia" w:cstheme="minorEastAsia"/>
          <w:i w:val="0"/>
          <w:iCs w:val="0"/>
          <w:caps w:val="0"/>
          <w:color w:val="333333"/>
          <w:spacing w:val="0"/>
          <w:sz w:val="32"/>
          <w:szCs w:val="32"/>
          <w:shd w:val="clear" w:fill="FFFFFF"/>
          <w:lang w:val="en-US" w:eastAsia="zh-CN"/>
        </w:rPr>
        <w:t>1.2</w:t>
      </w:r>
      <w:r>
        <w:rPr>
          <w:rFonts w:hint="eastAsia" w:asciiTheme="minorEastAsia" w:hAnsiTheme="minorEastAsia" w:eastAsiaTheme="minorEastAsia" w:cstheme="minorEastAsia"/>
          <w:i w:val="0"/>
          <w:iCs w:val="0"/>
          <w:caps w:val="0"/>
          <w:color w:val="333333"/>
          <w:spacing w:val="0"/>
          <w:sz w:val="32"/>
          <w:szCs w:val="32"/>
          <w:shd w:val="clear" w:fill="FFFFFF"/>
        </w:rPr>
        <w:t>万元，增加</w:t>
      </w:r>
      <w:r>
        <w:rPr>
          <w:rFonts w:hint="eastAsia" w:asciiTheme="minorEastAsia" w:hAnsiTheme="minorEastAsia" w:cstheme="minorEastAsia"/>
          <w:i w:val="0"/>
          <w:iCs w:val="0"/>
          <w:caps w:val="0"/>
          <w:color w:val="333333"/>
          <w:spacing w:val="0"/>
          <w:sz w:val="32"/>
          <w:szCs w:val="32"/>
          <w:shd w:val="clear" w:fill="FFFFFF"/>
          <w:lang w:val="en-US" w:eastAsia="zh-CN"/>
        </w:rPr>
        <w:t>12</w:t>
      </w:r>
      <w:bookmarkStart w:id="0" w:name="_GoBack"/>
      <w:bookmarkEnd w:id="0"/>
      <w:r>
        <w:rPr>
          <w:rFonts w:hint="eastAsia" w:asciiTheme="minorEastAsia" w:hAnsiTheme="minorEastAsia" w:eastAsiaTheme="minorEastAsia" w:cstheme="minorEastAsia"/>
          <w:i w:val="0"/>
          <w:iCs w:val="0"/>
          <w:caps w:val="0"/>
          <w:color w:val="333333"/>
          <w:spacing w:val="0"/>
          <w:sz w:val="32"/>
          <w:szCs w:val="32"/>
          <w:shd w:val="clear" w:fill="FFFFFF"/>
        </w:rPr>
        <w:t>%。主要原因:机构合并，单位增加，</w:t>
      </w:r>
      <w:r>
        <w:rPr>
          <w:rFonts w:hint="eastAsia" w:asciiTheme="minorEastAsia" w:hAnsiTheme="minorEastAsia" w:cstheme="minorEastAsia"/>
          <w:b w:val="0"/>
          <w:bCs w:val="0"/>
          <w:i w:val="0"/>
          <w:iCs w:val="0"/>
          <w:caps w:val="0"/>
          <w:color w:val="333333"/>
          <w:spacing w:val="0"/>
          <w:sz w:val="32"/>
          <w:szCs w:val="32"/>
          <w:shd w:val="clear" w:fill="FFFFFF"/>
          <w:lang w:val="en-US" w:eastAsia="zh-CN"/>
        </w:rPr>
        <w:t>业务量增加，</w:t>
      </w:r>
      <w:r>
        <w:rPr>
          <w:rFonts w:hint="eastAsia" w:asciiTheme="minorEastAsia" w:hAnsiTheme="minorEastAsia" w:eastAsiaTheme="minorEastAsia" w:cstheme="minorEastAsia"/>
          <w:b w:val="0"/>
          <w:bCs w:val="0"/>
          <w:i w:val="0"/>
          <w:iCs w:val="0"/>
          <w:caps w:val="0"/>
          <w:color w:val="333333"/>
          <w:spacing w:val="0"/>
          <w:sz w:val="32"/>
          <w:szCs w:val="32"/>
          <w:shd w:val="clear" w:fill="FFFFFF"/>
        </w:rPr>
        <w:t>支出</w:t>
      </w:r>
      <w:r>
        <w:rPr>
          <w:rFonts w:hint="eastAsia" w:asciiTheme="minorEastAsia" w:hAnsiTheme="minorEastAsia" w:cstheme="minorEastAsia"/>
          <w:b w:val="0"/>
          <w:bCs w:val="0"/>
          <w:i w:val="0"/>
          <w:iCs w:val="0"/>
          <w:caps w:val="0"/>
          <w:color w:val="333333"/>
          <w:spacing w:val="0"/>
          <w:sz w:val="32"/>
          <w:szCs w:val="32"/>
          <w:shd w:val="clear" w:fill="FFFFFF"/>
          <w:lang w:val="en-US" w:eastAsia="zh-CN"/>
        </w:rPr>
        <w:t>随之</w:t>
      </w:r>
      <w:r>
        <w:rPr>
          <w:rFonts w:hint="eastAsia" w:asciiTheme="minorEastAsia" w:hAnsiTheme="minorEastAsia" w:eastAsiaTheme="minorEastAsia" w:cstheme="minorEastAsia"/>
          <w:b w:val="0"/>
          <w:bCs w:val="0"/>
          <w:i w:val="0"/>
          <w:iCs w:val="0"/>
          <w:caps w:val="0"/>
          <w:color w:val="333333"/>
          <w:spacing w:val="0"/>
          <w:sz w:val="32"/>
          <w:szCs w:val="32"/>
          <w:shd w:val="clear" w:fill="FFFFFF"/>
        </w:rPr>
        <w:t>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3" w:firstLineChars="200"/>
        <w:jc w:val="both"/>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sz w:val="32"/>
          <w:szCs w:val="32"/>
          <w:shd w:val="clear" w:fill="FFFFFF"/>
        </w:rPr>
        <w:t>九、其他重要事项情况的说明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3" w:firstLineChars="200"/>
        <w:jc w:val="both"/>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sz w:val="32"/>
          <w:szCs w:val="32"/>
          <w:shd w:val="clear" w:fill="FFFFFF"/>
        </w:rPr>
        <w:t>（一）机关运行经费支出情况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shd w:val="clear" w:fill="FFFFFF"/>
        </w:rPr>
      </w:pPr>
      <w:r>
        <w:rPr>
          <w:rFonts w:hint="eastAsia" w:asciiTheme="minorEastAsia" w:hAnsiTheme="minorEastAsia" w:eastAsiaTheme="minorEastAsia" w:cstheme="minorEastAsia"/>
          <w:i w:val="0"/>
          <w:iCs w:val="0"/>
          <w:caps w:val="0"/>
          <w:color w:val="333333"/>
          <w:spacing w:val="0"/>
          <w:sz w:val="32"/>
          <w:szCs w:val="32"/>
          <w:shd w:val="clear" w:fill="FFFFFF"/>
        </w:rPr>
        <w:t xml:space="preserve">  </w:t>
      </w:r>
      <w:r>
        <w:rPr>
          <w:rFonts w:hint="eastAsia" w:asciiTheme="minorEastAsia" w:hAnsiTheme="minorEastAsia" w:cstheme="minorEastAsia"/>
          <w:i w:val="0"/>
          <w:iCs w:val="0"/>
          <w:caps w:val="0"/>
          <w:color w:val="333333"/>
          <w:spacing w:val="0"/>
          <w:sz w:val="32"/>
          <w:szCs w:val="32"/>
          <w:shd w:val="clear" w:fill="FFFFFF"/>
          <w:lang w:val="en-US" w:eastAsia="zh-CN"/>
        </w:rPr>
        <w:t xml:space="preserve"> </w:t>
      </w:r>
      <w:r>
        <w:rPr>
          <w:rFonts w:hint="eastAsia" w:asciiTheme="minorEastAsia" w:hAnsiTheme="minorEastAsia" w:eastAsiaTheme="minorEastAsia" w:cstheme="minorEastAsia"/>
          <w:i w:val="0"/>
          <w:iCs w:val="0"/>
          <w:caps w:val="0"/>
          <w:color w:val="333333"/>
          <w:spacing w:val="0"/>
          <w:sz w:val="32"/>
          <w:szCs w:val="32"/>
          <w:shd w:val="clear" w:fill="FFFFFF"/>
        </w:rPr>
        <w:t>2020年机关运行经费支出预算1556.5万元，主要保障单位人员工资发放、机构正常运转及正常履职需要。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3" w:firstLineChars="200"/>
        <w:jc w:val="both"/>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sz w:val="32"/>
          <w:szCs w:val="32"/>
          <w:shd w:val="clear" w:fill="FFFFFF"/>
        </w:rPr>
        <w:t>（二）政府采购支出情况</w:t>
      </w:r>
    </w:p>
    <w:p>
      <w:pPr>
        <w:kinsoku w:val="0"/>
        <w:overflowPunct w:val="0"/>
        <w:autoSpaceDE w:val="0"/>
        <w:autoSpaceDN w:val="0"/>
        <w:adjustRightInd w:val="0"/>
        <w:snapToGrid w:val="0"/>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我局</w:t>
      </w:r>
      <w:r>
        <w:rPr>
          <w:rFonts w:hint="eastAsia" w:asciiTheme="minorEastAsia" w:hAnsiTheme="minorEastAsia" w:cstheme="minorEastAsia"/>
          <w:sz w:val="32"/>
          <w:szCs w:val="32"/>
          <w:lang w:val="en-US" w:eastAsia="zh-CN"/>
        </w:rPr>
        <w:t>2020</w:t>
      </w:r>
      <w:r>
        <w:rPr>
          <w:rFonts w:hint="eastAsia" w:asciiTheme="minorEastAsia" w:hAnsiTheme="minorEastAsia" w:eastAsiaTheme="minorEastAsia" w:cstheme="minorEastAsia"/>
          <w:sz w:val="32"/>
          <w:szCs w:val="32"/>
        </w:rPr>
        <w:t>年政府采购预算安排</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rPr>
        <w:t>万元，其中：政府采购货物预算</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rPr>
        <w:t>万元、政府采购工程预算</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rPr>
        <w:t>万元、政府采购服务预算</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rPr>
        <w:t>万元。</w:t>
      </w:r>
    </w:p>
    <w:p>
      <w:pPr>
        <w:kinsoku w:val="0"/>
        <w:overflowPunct w:val="0"/>
        <w:autoSpaceDE w:val="0"/>
        <w:autoSpaceDN w:val="0"/>
        <w:adjustRightInd w:val="0"/>
        <w:snapToGrid w:val="0"/>
        <w:spacing w:line="360" w:lineRule="auto"/>
        <w:ind w:firstLine="643" w:firstLineChars="200"/>
        <w:rPr>
          <w:rFonts w:hint="eastAsia"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bCs/>
          <w:i w:val="0"/>
          <w:iCs w:val="0"/>
          <w:caps w:val="0"/>
          <w:color w:val="000000"/>
          <w:spacing w:val="0"/>
          <w:kern w:val="0"/>
          <w:sz w:val="32"/>
          <w:szCs w:val="32"/>
          <w:shd w:val="clear" w:fill="FFFFFF"/>
          <w:lang w:val="en-US" w:eastAsia="zh-CN" w:bidi="ar"/>
        </w:rPr>
        <w:t>（三）</w:t>
      </w:r>
      <w:r>
        <w:rPr>
          <w:rFonts w:hint="eastAsia" w:asciiTheme="minorEastAsia" w:hAnsiTheme="minorEastAsia" w:eastAsiaTheme="minorEastAsia" w:cstheme="minorEastAsia"/>
          <w:b/>
          <w:kern w:val="0"/>
          <w:sz w:val="32"/>
          <w:szCs w:val="32"/>
        </w:rPr>
        <w:t>绩效目标设置情况</w:t>
      </w:r>
    </w:p>
    <w:p>
      <w:pPr>
        <w:kinsoku w:val="0"/>
        <w:overflowPunct w:val="0"/>
        <w:autoSpaceDE w:val="0"/>
        <w:autoSpaceDN w:val="0"/>
        <w:adjustRightInd w:val="0"/>
        <w:snapToGrid w:val="0"/>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我</w:t>
      </w:r>
      <w:r>
        <w:rPr>
          <w:rFonts w:hint="eastAsia" w:asciiTheme="minorEastAsia" w:hAnsiTheme="minorEastAsia" w:eastAsiaTheme="minorEastAsia" w:cstheme="minorEastAsia"/>
          <w:sz w:val="32"/>
          <w:szCs w:val="32"/>
          <w:lang w:eastAsia="zh-CN"/>
        </w:rPr>
        <w:t>局</w:t>
      </w:r>
      <w:r>
        <w:rPr>
          <w:rFonts w:hint="eastAsia" w:asciiTheme="minorEastAsia" w:hAnsiTheme="minorEastAsia" w:eastAsiaTheme="minorEastAsia" w:cstheme="minorEastAsia"/>
          <w:sz w:val="32"/>
          <w:szCs w:val="32"/>
        </w:rPr>
        <w:t>20</w:t>
      </w:r>
      <w:r>
        <w:rPr>
          <w:rFonts w:hint="eastAsia" w:asciiTheme="minorEastAsia" w:hAnsiTheme="minorEastAsia" w:cstheme="minorEastAsia"/>
          <w:sz w:val="32"/>
          <w:szCs w:val="32"/>
          <w:lang w:val="en-US" w:eastAsia="zh-CN"/>
        </w:rPr>
        <w:t>20</w:t>
      </w:r>
      <w:r>
        <w:rPr>
          <w:rFonts w:hint="eastAsia" w:asciiTheme="minorEastAsia" w:hAnsiTheme="minorEastAsia" w:eastAsiaTheme="minorEastAsia" w:cstheme="minorEastAsia"/>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kinsoku w:val="0"/>
        <w:overflowPunct w:val="0"/>
        <w:autoSpaceDE w:val="0"/>
        <w:autoSpaceDN w:val="0"/>
        <w:adjustRightInd w:val="0"/>
        <w:snapToGrid w:val="0"/>
        <w:spacing w:line="360" w:lineRule="auto"/>
        <w:ind w:firstLine="640" w:firstLineChars="200"/>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Fonts w:hint="eastAsia" w:asciiTheme="minorEastAsia" w:hAnsiTheme="minorEastAsia" w:cstheme="minorEastAsia"/>
          <w:b w:val="0"/>
          <w:bCs w:val="0"/>
          <w:color w:val="000000" w:themeColor="text1"/>
          <w:sz w:val="32"/>
          <w:szCs w:val="32"/>
          <w:lang w:val="en-US" w:eastAsia="zh-CN"/>
          <w14:textFill>
            <w14:solidFill>
              <w14:schemeClr w14:val="tx1"/>
            </w14:solidFill>
          </w14:textFill>
        </w:rPr>
        <w:t>2020</w:t>
      </w:r>
      <w:r>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t>年部门预算金额共计</w:t>
      </w:r>
      <w:r>
        <w:rPr>
          <w:rFonts w:hint="eastAsia" w:asciiTheme="minorEastAsia" w:hAnsiTheme="minorEastAsia" w:cstheme="minorEastAsia"/>
          <w:b w:val="0"/>
          <w:bCs w:val="0"/>
          <w:color w:val="000000" w:themeColor="text1"/>
          <w:sz w:val="32"/>
          <w:szCs w:val="32"/>
          <w:lang w:val="en-US" w:eastAsia="zh-CN"/>
          <w14:textFill>
            <w14:solidFill>
              <w14:schemeClr w14:val="tx1"/>
            </w14:solidFill>
          </w14:textFill>
        </w:rPr>
        <w:t>80</w:t>
      </w:r>
      <w:r>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t>万元，其中项目共1个，金额为</w:t>
      </w:r>
      <w:r>
        <w:rPr>
          <w:rFonts w:hint="eastAsia" w:asciiTheme="minorEastAsia" w:hAnsiTheme="minorEastAsia" w:cstheme="minorEastAsia"/>
          <w:b w:val="0"/>
          <w:bCs w:val="0"/>
          <w:color w:val="000000" w:themeColor="text1"/>
          <w:sz w:val="32"/>
          <w:szCs w:val="32"/>
          <w:lang w:val="en-US" w:eastAsia="zh-CN"/>
          <w14:textFill>
            <w14:solidFill>
              <w14:schemeClr w14:val="tx1"/>
            </w14:solidFill>
          </w14:textFill>
        </w:rPr>
        <w:t>80</w:t>
      </w:r>
      <w:r>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3" w:firstLineChars="200"/>
        <w:jc w:val="both"/>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sz w:val="32"/>
          <w:szCs w:val="32"/>
          <w:shd w:val="clear" w:fill="FFFFFF"/>
        </w:rPr>
        <w:t>（四）国有资产占用情况</w:t>
      </w:r>
    </w:p>
    <w:p>
      <w:pPr>
        <w:kinsoku w:val="0"/>
        <w:overflowPunct w:val="0"/>
        <w:autoSpaceDE w:val="0"/>
        <w:autoSpaceDN w:val="0"/>
        <w:adjustRightInd w:val="0"/>
        <w:snapToGrid w:val="0"/>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 xml:space="preserve"> 2019年</w:t>
      </w:r>
      <w:r>
        <w:rPr>
          <w:rFonts w:hint="eastAsia" w:asciiTheme="minorEastAsia" w:hAnsiTheme="minorEastAsia" w:eastAsiaTheme="minorEastAsia" w:cstheme="minorEastAsia"/>
          <w:sz w:val="32"/>
          <w:szCs w:val="32"/>
        </w:rPr>
        <w:t>期末</w:t>
      </w:r>
      <w:r>
        <w:rPr>
          <w:rFonts w:hint="eastAsia" w:asciiTheme="minorEastAsia" w:hAnsiTheme="minorEastAsia" w:eastAsiaTheme="minorEastAsia" w:cstheme="minorEastAsia"/>
          <w:i w:val="0"/>
          <w:iCs w:val="0"/>
          <w:caps w:val="0"/>
          <w:color w:val="333333"/>
          <w:spacing w:val="0"/>
          <w:sz w:val="32"/>
          <w:szCs w:val="32"/>
          <w:shd w:val="clear" w:fill="FFFFFF"/>
        </w:rPr>
        <w:t>，我局共有车辆2辆，</w:t>
      </w:r>
      <w:r>
        <w:rPr>
          <w:rFonts w:hint="eastAsia" w:asciiTheme="minorEastAsia" w:hAnsiTheme="minorEastAsia" w:eastAsiaTheme="minorEastAsia" w:cstheme="minorEastAsia"/>
          <w:sz w:val="32"/>
          <w:szCs w:val="32"/>
        </w:rPr>
        <w:t>其中：一般公务用车</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辆、一般执法执勤用车</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辆、特种专业技术用车</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辆，其他用车</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辆，其他用车主要是；单价50万元以上通用设备</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台（套），单位价值100万元以上专用设备</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台（套）。</w:t>
      </w:r>
    </w:p>
    <w:p>
      <w:pPr>
        <w:kinsoku w:val="0"/>
        <w:overflowPunct w:val="0"/>
        <w:autoSpaceDE w:val="0"/>
        <w:autoSpaceDN w:val="0"/>
        <w:adjustRightInd w:val="0"/>
        <w:snapToGrid w:val="0"/>
        <w:spacing w:line="360" w:lineRule="auto"/>
        <w:ind w:firstLine="643" w:firstLineChars="200"/>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sz w:val="32"/>
          <w:szCs w:val="32"/>
          <w:shd w:val="clear" w:fill="FFFFFF"/>
        </w:rPr>
        <w:t>（五）专项转移支付项目情况</w:t>
      </w:r>
    </w:p>
    <w:p>
      <w:pPr>
        <w:kinsoku w:val="0"/>
        <w:overflowPunct w:val="0"/>
        <w:autoSpaceDE w:val="0"/>
        <w:autoSpaceDN w:val="0"/>
        <w:adjustRightInd w:val="0"/>
        <w:snapToGrid w:val="0"/>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我局负责管理的专项转移支付项目共有</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rPr>
        <w:t>项，主要是：项目</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rPr>
        <w:t>万元、项目</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rPr>
        <w:t>万元、项目</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rPr>
        <w:t>万元等；我局将按照《预算法》等有关规定，积极做好项目分配前期准备工作，在规定的时间内向财政部门提出资金分配意见，根据有关要求做好项目申报公开等相关工作。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sz w:val="32"/>
          <w:szCs w:val="32"/>
          <w:shd w:val="clear" w:fill="FFFFFF"/>
        </w:rPr>
        <w:t>第三部分</w:t>
      </w:r>
      <w:r>
        <w:rPr>
          <w:rFonts w:hint="eastAsia" w:asciiTheme="minorEastAsia" w:hAnsiTheme="minorEastAsia" w:cstheme="minorEastAsia"/>
          <w:b/>
          <w:bCs/>
          <w:i w:val="0"/>
          <w:iCs w:val="0"/>
          <w:caps w:val="0"/>
          <w:color w:val="333333"/>
          <w:spacing w:val="0"/>
          <w:sz w:val="32"/>
          <w:szCs w:val="32"/>
          <w:shd w:val="clear" w:fill="FFFFFF"/>
          <w:lang w:val="en-US" w:eastAsia="zh-CN"/>
        </w:rPr>
        <w:t xml:space="preserve">  </w:t>
      </w:r>
      <w:r>
        <w:rPr>
          <w:rFonts w:hint="eastAsia" w:asciiTheme="minorEastAsia" w:hAnsiTheme="minorEastAsia" w:eastAsiaTheme="minorEastAsia" w:cstheme="minorEastAsia"/>
          <w:b/>
          <w:bCs/>
          <w:i w:val="0"/>
          <w:iCs w:val="0"/>
          <w:caps w:val="0"/>
          <w:color w:val="333333"/>
          <w:spacing w:val="0"/>
          <w:sz w:val="32"/>
          <w:szCs w:val="32"/>
          <w:shd w:val="clear" w:fill="FFFFFF"/>
        </w:rPr>
        <w:t>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一、财政拨款收入：是指县级财政当年拨付的资金。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二、事业收入：是指事业单位开展专业活动及辅助活动所取得的收入。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三、其他收入：是指部门取得的除“财政拨款”、“事业收入”、“事业单位经营收入”等以外的收入。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五、基本支出：是指为保障机构正常运转、完成日常工作任务所必需的开支，其内容包括人员经费和日常公用经费两部分。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六、项目支出：是指在基本支出之外，为完成特定的行政工作任务或事业发展目标所发生的支出。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七、“三公”经费：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i w:val="0"/>
          <w:iCs w:val="0"/>
          <w:caps w:val="0"/>
          <w:color w:val="333333"/>
          <w:spacing w:val="0"/>
          <w:sz w:val="32"/>
          <w:szCs w:val="32"/>
          <w:shd w:val="clear" w:fill="FFFFFF"/>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inorEastAsia" w:hAnsiTheme="minorEastAsia" w:eastAsiaTheme="minorEastAsia" w:cstheme="minorEastAsia"/>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Theme="minorEastAsia" w:hAnsiTheme="minorEastAsia" w:eastAsiaTheme="minorEastAsia" w:cstheme="minorEastAsia"/>
          <w:b/>
          <w:bCs/>
          <w:i w:val="0"/>
          <w:iCs w:val="0"/>
          <w:caps w:val="0"/>
          <w:color w:val="333333"/>
          <w:spacing w:val="0"/>
          <w:sz w:val="32"/>
          <w:szCs w:val="32"/>
          <w:shd w:val="clear" w:fill="FFFFFF"/>
        </w:rPr>
      </w:pPr>
      <w:r>
        <w:rPr>
          <w:rFonts w:hint="eastAsia" w:asciiTheme="minorEastAsia" w:hAnsiTheme="minorEastAsia" w:eastAsiaTheme="minorEastAsia" w:cstheme="minorEastAsia"/>
          <w:b/>
          <w:bCs/>
          <w:i w:val="0"/>
          <w:iCs w:val="0"/>
          <w:caps w:val="0"/>
          <w:color w:val="333333"/>
          <w:spacing w:val="0"/>
          <w:sz w:val="32"/>
          <w:szCs w:val="32"/>
          <w:shd w:val="clear" w:fill="FFFFFF"/>
        </w:rPr>
        <w:t>附件：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inorEastAsia" w:hAnsiTheme="minorEastAsia" w:eastAsiaTheme="minorEastAsia" w:cstheme="minorEastAsia"/>
          <w:b/>
          <w:bCs/>
          <w:i w:val="0"/>
          <w:iCs w:val="0"/>
          <w:caps w:val="0"/>
          <w:color w:val="333333"/>
          <w:spacing w:val="0"/>
          <w:sz w:val="32"/>
          <w:szCs w:val="32"/>
          <w:shd w:val="clear" w:fill="FFFFFF"/>
        </w:rPr>
      </w:pPr>
      <w:r>
        <w:rPr>
          <w:rFonts w:hint="eastAsia" w:asciiTheme="minorEastAsia" w:hAnsiTheme="minorEastAsia" w:eastAsiaTheme="minorEastAsia" w:cstheme="minorEastAsia"/>
          <w:b/>
          <w:bCs/>
          <w:spacing w:val="2"/>
          <w:kern w:val="0"/>
          <w:sz w:val="32"/>
          <w:szCs w:val="32"/>
          <w:highlight w:val="none"/>
          <w:lang w:val="en-US" w:eastAsia="zh-CN"/>
        </w:rPr>
        <w:t>农业农村</w:t>
      </w:r>
      <w:r>
        <w:rPr>
          <w:rFonts w:hint="eastAsia" w:asciiTheme="minorEastAsia" w:hAnsiTheme="minorEastAsia" w:eastAsiaTheme="minorEastAsia" w:cstheme="minorEastAsia"/>
          <w:b/>
          <w:bCs/>
          <w:spacing w:val="2"/>
          <w:kern w:val="0"/>
          <w:sz w:val="32"/>
          <w:szCs w:val="32"/>
          <w:highlight w:val="none"/>
        </w:rPr>
        <w:t>局</w:t>
      </w:r>
      <w:r>
        <w:rPr>
          <w:rFonts w:hint="eastAsia" w:asciiTheme="minorEastAsia" w:hAnsiTheme="minorEastAsia" w:eastAsiaTheme="minorEastAsia" w:cstheme="minorEastAsia"/>
          <w:b/>
          <w:bCs/>
          <w:i w:val="0"/>
          <w:iCs w:val="0"/>
          <w:caps w:val="0"/>
          <w:color w:val="333333"/>
          <w:spacing w:val="0"/>
          <w:sz w:val="32"/>
          <w:szCs w:val="32"/>
          <w:shd w:val="clear" w:fill="FFFFFF"/>
        </w:rPr>
        <w:t>20</w:t>
      </w:r>
      <w:r>
        <w:rPr>
          <w:rFonts w:hint="eastAsia" w:asciiTheme="minorEastAsia" w:hAnsiTheme="minorEastAsia" w:cstheme="minorEastAsia"/>
          <w:b/>
          <w:bCs/>
          <w:i w:val="0"/>
          <w:iCs w:val="0"/>
          <w:caps w:val="0"/>
          <w:color w:val="333333"/>
          <w:spacing w:val="0"/>
          <w:sz w:val="32"/>
          <w:szCs w:val="32"/>
          <w:shd w:val="clear" w:fill="FFFFFF"/>
          <w:lang w:val="en-US" w:eastAsia="zh-CN"/>
        </w:rPr>
        <w:t>20</w:t>
      </w:r>
      <w:r>
        <w:rPr>
          <w:rFonts w:hint="eastAsia" w:asciiTheme="minorEastAsia" w:hAnsiTheme="minorEastAsia" w:eastAsiaTheme="minorEastAsia" w:cstheme="minorEastAsia"/>
          <w:b/>
          <w:bCs/>
          <w:i w:val="0"/>
          <w:iCs w:val="0"/>
          <w:caps w:val="0"/>
          <w:color w:val="333333"/>
          <w:spacing w:val="0"/>
          <w:sz w:val="32"/>
          <w:szCs w:val="32"/>
          <w:shd w:val="clear" w:fill="FFFFFF"/>
        </w:rPr>
        <w:t>年部门预算公开报表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Theme="minorEastAsia" w:hAnsiTheme="minorEastAsia" w:eastAsiaTheme="minorEastAsia" w:cstheme="minorEastAsia"/>
          <w:b/>
          <w:bCs/>
          <w:i w:val="0"/>
          <w:iCs w:val="0"/>
          <w:caps w:val="0"/>
          <w:color w:val="333333"/>
          <w:spacing w:val="0"/>
          <w:sz w:val="32"/>
          <w:szCs w:val="32"/>
          <w:shd w:val="clear" w:fill="FFFFFF"/>
        </w:rPr>
      </w:pPr>
    </w:p>
    <w:p>
      <w:pPr>
        <w:numPr>
          <w:ilvl w:val="0"/>
          <w:numId w:val="0"/>
        </w:numPr>
        <w:kinsoku w:val="0"/>
        <w:overflowPunct w:val="0"/>
        <w:adjustRightInd w:val="0"/>
        <w:snapToGrid w:val="0"/>
        <w:spacing w:line="360" w:lineRule="auto"/>
        <w:ind w:right="51" w:rightChars="0"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1、</w:t>
      </w:r>
      <w:r>
        <w:rPr>
          <w:rFonts w:hint="eastAsia" w:asciiTheme="minorEastAsia" w:hAnsiTheme="minorEastAsia" w:eastAsiaTheme="minorEastAsia" w:cstheme="minorEastAsia"/>
          <w:sz w:val="32"/>
          <w:szCs w:val="32"/>
        </w:rPr>
        <w:t>部门收支预算总表</w:t>
      </w:r>
    </w:p>
    <w:p>
      <w:pPr>
        <w:numPr>
          <w:ilvl w:val="0"/>
          <w:numId w:val="0"/>
        </w:numPr>
        <w:kinsoku w:val="0"/>
        <w:overflowPunct w:val="0"/>
        <w:adjustRightInd w:val="0"/>
        <w:snapToGrid w:val="0"/>
        <w:spacing w:line="360" w:lineRule="auto"/>
        <w:ind w:right="51" w:rightChars="0"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2、</w:t>
      </w:r>
      <w:r>
        <w:rPr>
          <w:rFonts w:hint="eastAsia" w:asciiTheme="minorEastAsia" w:hAnsiTheme="minorEastAsia" w:eastAsiaTheme="minorEastAsia" w:cstheme="minorEastAsia"/>
          <w:sz w:val="32"/>
          <w:szCs w:val="32"/>
        </w:rPr>
        <w:t>部门收入预算总表</w:t>
      </w:r>
    </w:p>
    <w:p>
      <w:pPr>
        <w:numPr>
          <w:ilvl w:val="0"/>
          <w:numId w:val="0"/>
        </w:numPr>
        <w:kinsoku w:val="0"/>
        <w:overflowPunct w:val="0"/>
        <w:adjustRightInd w:val="0"/>
        <w:snapToGrid w:val="0"/>
        <w:spacing w:line="360" w:lineRule="auto"/>
        <w:ind w:right="51" w:rightChars="0"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3、</w:t>
      </w:r>
      <w:r>
        <w:rPr>
          <w:rFonts w:hint="eastAsia" w:asciiTheme="minorEastAsia" w:hAnsiTheme="minorEastAsia" w:eastAsiaTheme="minorEastAsia" w:cstheme="minorEastAsia"/>
          <w:sz w:val="32"/>
          <w:szCs w:val="32"/>
        </w:rPr>
        <w:t>部门支出总体情况表</w:t>
      </w:r>
    </w:p>
    <w:p>
      <w:pPr>
        <w:kinsoku w:val="0"/>
        <w:overflowPunct w:val="0"/>
        <w:adjustRightInd w:val="0"/>
        <w:snapToGrid w:val="0"/>
        <w:spacing w:line="360" w:lineRule="auto"/>
        <w:ind w:right="51"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4、</w:t>
      </w:r>
      <w:r>
        <w:rPr>
          <w:rFonts w:hint="eastAsia" w:asciiTheme="minorEastAsia" w:hAnsiTheme="minorEastAsia" w:eastAsiaTheme="minorEastAsia" w:cstheme="minorEastAsia"/>
          <w:sz w:val="32"/>
          <w:szCs w:val="32"/>
        </w:rPr>
        <w:t>财政拨款预算收支情况表</w:t>
      </w:r>
    </w:p>
    <w:p>
      <w:pPr>
        <w:kinsoku w:val="0"/>
        <w:overflowPunct w:val="0"/>
        <w:adjustRightInd w:val="0"/>
        <w:snapToGrid w:val="0"/>
        <w:spacing w:line="360" w:lineRule="auto"/>
        <w:ind w:right="51"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5、</w:t>
      </w:r>
      <w:r>
        <w:rPr>
          <w:rFonts w:hint="eastAsia" w:asciiTheme="minorEastAsia" w:hAnsiTheme="minorEastAsia" w:eastAsiaTheme="minorEastAsia" w:cstheme="minorEastAsia"/>
          <w:sz w:val="32"/>
          <w:szCs w:val="32"/>
        </w:rPr>
        <w:t>一般公共预算支出情况表(按功能分类)</w:t>
      </w:r>
    </w:p>
    <w:p>
      <w:pPr>
        <w:kinsoku w:val="0"/>
        <w:overflowPunct w:val="0"/>
        <w:adjustRightInd w:val="0"/>
        <w:snapToGrid w:val="0"/>
        <w:spacing w:line="360" w:lineRule="auto"/>
        <w:ind w:right="51"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6</w:t>
      </w:r>
      <w:r>
        <w:rPr>
          <w:rFonts w:hint="eastAsia" w:asciiTheme="minorEastAsia" w:hAnsiTheme="minorEastAsia" w:eastAsiaTheme="minorEastAsia" w:cstheme="minorEastAsia"/>
          <w:sz w:val="32"/>
          <w:szCs w:val="32"/>
        </w:rPr>
        <w:t>、一般公共预算基本支出情况表（按经济分类)</w:t>
      </w:r>
    </w:p>
    <w:p>
      <w:pPr>
        <w:kinsoku w:val="0"/>
        <w:overflowPunct w:val="0"/>
        <w:adjustRightInd w:val="0"/>
        <w:snapToGrid w:val="0"/>
        <w:spacing w:line="360" w:lineRule="auto"/>
        <w:ind w:right="51"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7</w:t>
      </w:r>
      <w:r>
        <w:rPr>
          <w:rFonts w:hint="eastAsia" w:asciiTheme="minorEastAsia" w:hAnsiTheme="minorEastAsia" w:eastAsiaTheme="minorEastAsia" w:cstheme="minorEastAsia"/>
          <w:sz w:val="32"/>
          <w:szCs w:val="32"/>
        </w:rPr>
        <w:t>、政府性基金支出情况表</w:t>
      </w:r>
    </w:p>
    <w:p>
      <w:pPr>
        <w:kinsoku w:val="0"/>
        <w:overflowPunct w:val="0"/>
        <w:adjustRightInd w:val="0"/>
        <w:snapToGrid w:val="0"/>
        <w:spacing w:line="360" w:lineRule="auto"/>
        <w:ind w:right="51"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8</w:t>
      </w:r>
      <w:r>
        <w:rPr>
          <w:rFonts w:hint="eastAsia" w:asciiTheme="minorEastAsia" w:hAnsiTheme="minorEastAsia" w:eastAsiaTheme="minorEastAsia" w:cstheme="minorEastAsia"/>
          <w:sz w:val="32"/>
          <w:szCs w:val="32"/>
        </w:rPr>
        <w:t>、一般公共预算“三公”经费支出情况表</w:t>
      </w:r>
    </w:p>
    <w:p/>
    <w:p/>
    <w:p/>
    <w:p/>
    <w:p/>
    <w:p/>
    <w:p/>
    <w:p/>
    <w:p/>
    <w:p/>
    <w:p/>
    <w:p/>
    <w:p/>
    <w:p/>
    <w:p/>
    <w:p/>
    <w:p/>
    <w:p/>
    <w:p/>
    <w:p>
      <w:pPr>
        <w:tabs>
          <w:tab w:val="left" w:pos="5278"/>
        </w:tabs>
        <w:rPr>
          <w:rFonts w:hint="eastAsia"/>
          <w:lang w:eastAsia="zh-CN"/>
        </w:rPr>
      </w:pPr>
      <w:r>
        <w:rPr>
          <w:rFonts w:hint="eastAsia"/>
          <w:lang w:eastAsia="zh-CN"/>
        </w:rPr>
        <w:tab/>
      </w:r>
    </w:p>
    <w:p>
      <w:pPr>
        <w:tabs>
          <w:tab w:val="left" w:pos="5278"/>
        </w:tabs>
        <w:rPr>
          <w:rFonts w:hint="eastAsia"/>
          <w:lang w:eastAsia="zh-CN"/>
        </w:rPr>
      </w:pPr>
    </w:p>
    <w:p>
      <w:pPr>
        <w:tabs>
          <w:tab w:val="left" w:pos="5278"/>
        </w:tabs>
        <w:rPr>
          <w:rFonts w:hint="eastAsia"/>
          <w:lang w:eastAsia="zh-CN"/>
        </w:rPr>
      </w:pPr>
    </w:p>
    <w:p/>
    <w:p/>
    <w:p/>
    <w:p/>
    <w:p/>
    <w:p/>
    <w:p/>
    <w:p/>
    <w:p/>
    <w:p/>
    <w:p/>
    <w:p/>
    <w:p/>
    <w:p/>
    <w:p/>
    <w:p/>
    <w:p/>
    <w:p/>
    <w:p/>
    <w:p/>
    <w:p/>
    <w:p/>
    <w:p/>
    <w:p/>
    <w:p/>
    <w:p/>
    <w:p/>
    <w:p/>
    <w:p/>
    <w:p/>
    <w:p/>
    <w:p/>
    <w:p/>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pPr>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3DAF95"/>
    <w:multiLevelType w:val="singleLevel"/>
    <w:tmpl w:val="A13DAF95"/>
    <w:lvl w:ilvl="0" w:tentative="0">
      <w:start w:val="8"/>
      <w:numFmt w:val="chineseCounting"/>
      <w:suff w:val="nothing"/>
      <w:lvlText w:val="%1、"/>
      <w:lvlJc w:val="left"/>
      <w:rPr>
        <w:rFonts w:hint="eastAsia"/>
      </w:rPr>
    </w:lvl>
  </w:abstractNum>
  <w:abstractNum w:abstractNumId="1">
    <w:nsid w:val="CB58CD61"/>
    <w:multiLevelType w:val="singleLevel"/>
    <w:tmpl w:val="CB58CD61"/>
    <w:lvl w:ilvl="0" w:tentative="0">
      <w:start w:val="1"/>
      <w:numFmt w:val="chineseCounting"/>
      <w:suff w:val="nothing"/>
      <w:lvlText w:val="%1、"/>
      <w:lvlJc w:val="left"/>
      <w:rPr>
        <w:rFonts w:hint="eastAsia"/>
      </w:rPr>
    </w:lvl>
  </w:abstractNum>
  <w:abstractNum w:abstractNumId="2">
    <w:nsid w:val="E9EEEF50"/>
    <w:multiLevelType w:val="singleLevel"/>
    <w:tmpl w:val="E9EEEF50"/>
    <w:lvl w:ilvl="0" w:tentative="0">
      <w:start w:val="1"/>
      <w:numFmt w:val="chineseCounting"/>
      <w:suff w:val="nothing"/>
      <w:lvlText w:val="（%1）"/>
      <w:lvlJc w:val="left"/>
      <w:pPr>
        <w:ind w:left="149"/>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32E2C"/>
    <w:rsid w:val="04811729"/>
    <w:rsid w:val="04C214F2"/>
    <w:rsid w:val="05F56889"/>
    <w:rsid w:val="062D1F44"/>
    <w:rsid w:val="07B94CC1"/>
    <w:rsid w:val="0A155871"/>
    <w:rsid w:val="0D135917"/>
    <w:rsid w:val="12EB2C9D"/>
    <w:rsid w:val="154D1CD2"/>
    <w:rsid w:val="16895228"/>
    <w:rsid w:val="1AB102E0"/>
    <w:rsid w:val="1C114EBD"/>
    <w:rsid w:val="1C8215A3"/>
    <w:rsid w:val="20222C76"/>
    <w:rsid w:val="25B9282C"/>
    <w:rsid w:val="26981614"/>
    <w:rsid w:val="283115BC"/>
    <w:rsid w:val="2F674178"/>
    <w:rsid w:val="30B82CB6"/>
    <w:rsid w:val="33153A32"/>
    <w:rsid w:val="33EA698D"/>
    <w:rsid w:val="3BA23A92"/>
    <w:rsid w:val="430C4D58"/>
    <w:rsid w:val="431E2712"/>
    <w:rsid w:val="4C0A3F7C"/>
    <w:rsid w:val="4EB96547"/>
    <w:rsid w:val="4F1B0C5B"/>
    <w:rsid w:val="51337C64"/>
    <w:rsid w:val="542B5B47"/>
    <w:rsid w:val="5800684C"/>
    <w:rsid w:val="59271254"/>
    <w:rsid w:val="5A896283"/>
    <w:rsid w:val="5D317121"/>
    <w:rsid w:val="5EB0424F"/>
    <w:rsid w:val="5EC00C91"/>
    <w:rsid w:val="5F441540"/>
    <w:rsid w:val="62B4504B"/>
    <w:rsid w:val="640B03ED"/>
    <w:rsid w:val="64461D5D"/>
    <w:rsid w:val="64612361"/>
    <w:rsid w:val="6B724155"/>
    <w:rsid w:val="6BBA3DD7"/>
    <w:rsid w:val="71BD14D9"/>
    <w:rsid w:val="71FA1026"/>
    <w:rsid w:val="786B59E5"/>
    <w:rsid w:val="79043A72"/>
    <w:rsid w:val="7B013F40"/>
    <w:rsid w:val="7FDA6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2021-06-05T01:13:00Z</dcterms:created>
  <dc:creator>Lenovo</dc:creator>
  <cp:lastModifiedBy>Administrator</cp:lastModifiedBy>
  <dcterms:modified xsi:type="dcterms:W3CDTF">2021-06-16T00:53:32Z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B01E5A45CF474EC2A6176E4E7E8C59B3</vt:lpwstr>
  </property>
</Properties>
</file>