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50" w:lineRule="atLeast"/>
        <w:jc w:val="center"/>
        <w:rPr>
          <w:rFonts w:ascii="黑体" w:hAnsi="黑体" w:eastAsia="黑体" w:cs="黑体"/>
          <w:b/>
          <w:bCs/>
          <w:kern w:val="0"/>
          <w:sz w:val="36"/>
          <w:szCs w:val="36"/>
        </w:rPr>
      </w:pPr>
    </w:p>
    <w:p>
      <w:pPr>
        <w:widowControl/>
        <w:spacing w:line="450" w:lineRule="atLeast"/>
        <w:jc w:val="center"/>
        <w:rPr>
          <w:rFonts w:ascii="黑体" w:hAnsi="黑体" w:eastAsia="黑体" w:cs="黑体"/>
          <w:b/>
          <w:bCs/>
          <w:sz w:val="36"/>
          <w:szCs w:val="36"/>
        </w:rPr>
      </w:pPr>
      <w:r>
        <w:rPr>
          <w:rFonts w:hint="eastAsia" w:ascii="黑体" w:hAnsi="黑体" w:eastAsia="黑体" w:cs="黑体"/>
          <w:b/>
          <w:bCs/>
          <w:kern w:val="0"/>
          <w:sz w:val="36"/>
          <w:szCs w:val="36"/>
        </w:rPr>
        <w:t xml:space="preserve"> 内乡县文学艺术界联合会2021年部门预算公开</w:t>
      </w:r>
    </w:p>
    <w:p>
      <w:pPr>
        <w:widowControl/>
        <w:spacing w:line="580" w:lineRule="atLeast"/>
        <w:ind w:firstLine="3614" w:firstLineChars="1000"/>
        <w:jc w:val="left"/>
        <w:rPr>
          <w:rFonts w:ascii="黑体" w:hAnsi="黑体" w:eastAsia="黑体" w:cs="黑体"/>
          <w:b/>
          <w:bCs/>
          <w:kern w:val="0"/>
          <w:sz w:val="36"/>
          <w:szCs w:val="36"/>
        </w:rPr>
      </w:pPr>
      <w:r>
        <w:rPr>
          <w:rFonts w:hint="eastAsia" w:ascii="黑体" w:hAnsi="黑体" w:eastAsia="黑体" w:cs="黑体"/>
          <w:b/>
          <w:bCs/>
          <w:kern w:val="0"/>
          <w:sz w:val="36"/>
          <w:szCs w:val="36"/>
        </w:rPr>
        <w:t>目    录</w:t>
      </w:r>
    </w:p>
    <w:p>
      <w:pPr>
        <w:widowControl/>
        <w:spacing w:line="580" w:lineRule="atLeast"/>
        <w:ind w:firstLine="643" w:firstLineChars="200"/>
        <w:jc w:val="left"/>
        <w:rPr>
          <w:rFonts w:ascii="仿宋_GB2312" w:hAnsi="仿宋_GB2312" w:eastAsia="仿宋_GB2312" w:cs="仿宋_GB2312"/>
          <w:b/>
          <w:bCs/>
          <w:kern w:val="0"/>
          <w:sz w:val="32"/>
          <w:szCs w:val="32"/>
        </w:rPr>
      </w:pPr>
    </w:p>
    <w:p>
      <w:pPr>
        <w:widowControl/>
        <w:spacing w:line="580" w:lineRule="atLeas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kern w:val="0"/>
          <w:sz w:val="32"/>
          <w:szCs w:val="32"/>
        </w:rPr>
        <w:t>第一部分 内乡县文学艺术界联合会概况</w:t>
      </w:r>
    </w:p>
    <w:p>
      <w:pPr>
        <w:widowControl/>
        <w:spacing w:line="580" w:lineRule="atLeast"/>
        <w:ind w:firstLine="1280" w:firstLineChars="4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一、主要职责</w:t>
      </w:r>
    </w:p>
    <w:p>
      <w:pPr>
        <w:widowControl/>
        <w:spacing w:line="580" w:lineRule="atLeast"/>
        <w:ind w:firstLine="1280" w:firstLineChars="4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二、机构设置及部门预算单位构成</w:t>
      </w:r>
    </w:p>
    <w:p>
      <w:pPr>
        <w:widowControl/>
        <w:spacing w:line="580" w:lineRule="atLeas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kern w:val="0"/>
          <w:sz w:val="32"/>
          <w:szCs w:val="32"/>
        </w:rPr>
        <w:t>第二部分 内乡县文学艺术界联合会2021年度部门预算情况说明</w:t>
      </w:r>
    </w:p>
    <w:p>
      <w:pPr>
        <w:widowControl/>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kern w:val="0"/>
          <w:sz w:val="32"/>
          <w:szCs w:val="32"/>
        </w:rPr>
        <w:t>第三部分 名词解释</w:t>
      </w:r>
    </w:p>
    <w:p>
      <w:pPr>
        <w:widowControl/>
        <w:spacing w:line="450" w:lineRule="atLeast"/>
        <w:jc w:val="left"/>
        <w:rPr>
          <w:rFonts w:ascii="仿宋_GB2312" w:hAnsi="仿宋_GB2312" w:eastAsia="仿宋_GB2312" w:cs="仿宋_GB2312"/>
          <w:b/>
          <w:bCs/>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b/>
          <w:bCs/>
          <w:kern w:val="0"/>
          <w:sz w:val="32"/>
          <w:szCs w:val="32"/>
        </w:rPr>
        <w:t>附件： 内乡县文学艺术界联合会2021年部门预算表</w:t>
      </w:r>
    </w:p>
    <w:p>
      <w:pPr>
        <w:widowControl/>
        <w:spacing w:line="360" w:lineRule="auto"/>
        <w:ind w:right="51" w:firstLine="1280" w:firstLineChars="4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一、部门收支总体情况表</w:t>
      </w:r>
    </w:p>
    <w:p>
      <w:pPr>
        <w:widowControl/>
        <w:spacing w:line="360" w:lineRule="auto"/>
        <w:ind w:right="51" w:firstLine="1280" w:firstLineChars="4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二、部门收入总体情况表</w:t>
      </w:r>
    </w:p>
    <w:p>
      <w:pPr>
        <w:widowControl/>
        <w:spacing w:line="360" w:lineRule="auto"/>
        <w:ind w:right="51" w:firstLine="1280" w:firstLineChars="4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三、部门支出总体情况表</w:t>
      </w:r>
    </w:p>
    <w:p>
      <w:pPr>
        <w:widowControl/>
        <w:spacing w:line="360" w:lineRule="auto"/>
        <w:ind w:right="51" w:firstLine="1280" w:firstLineChars="4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四、财政拨款收支总体情况表</w:t>
      </w:r>
    </w:p>
    <w:p>
      <w:pPr>
        <w:widowControl/>
        <w:spacing w:line="360" w:lineRule="auto"/>
        <w:ind w:right="51" w:firstLine="1280" w:firstLineChars="4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五、一般公共预算支出情况表</w:t>
      </w:r>
    </w:p>
    <w:p>
      <w:pPr>
        <w:widowControl/>
        <w:spacing w:line="360" w:lineRule="auto"/>
        <w:ind w:right="51" w:firstLine="1280" w:firstLineChars="4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六、一般公共预算基本支出情况表（按支出经济分类）</w:t>
      </w:r>
    </w:p>
    <w:p>
      <w:pPr>
        <w:widowControl/>
        <w:spacing w:line="360" w:lineRule="auto"/>
        <w:ind w:right="51" w:firstLine="1280" w:firstLineChars="4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七、政府性基金预算支出情况表</w:t>
      </w:r>
    </w:p>
    <w:p>
      <w:pPr>
        <w:widowControl/>
        <w:spacing w:line="360" w:lineRule="auto"/>
        <w:ind w:right="51" w:firstLine="1280" w:firstLineChars="4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八、国有资本经营支出情况表</w:t>
      </w:r>
    </w:p>
    <w:p>
      <w:pPr>
        <w:widowControl/>
        <w:spacing w:line="360" w:lineRule="auto"/>
        <w:ind w:right="51" w:firstLine="1280" w:firstLineChars="4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九、一般公共预算“三公”经费支出情况表</w:t>
      </w:r>
    </w:p>
    <w:p>
      <w:pPr>
        <w:widowControl/>
        <w:spacing w:line="360" w:lineRule="auto"/>
        <w:ind w:right="51" w:firstLine="1280" w:firstLineChars="4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十、部门整体支出绩效目标表</w:t>
      </w:r>
    </w:p>
    <w:p>
      <w:pPr>
        <w:widowControl/>
        <w:spacing w:line="360" w:lineRule="auto"/>
        <w:ind w:right="51" w:firstLine="1280" w:firstLineChars="4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十一、部门预算项目绩效目标表</w:t>
      </w:r>
      <w:r>
        <w:rPr>
          <w:rFonts w:hint="eastAsia" w:ascii="仿宋_GB2312" w:hAnsi="仿宋_GB2312" w:eastAsia="仿宋_GB2312" w:cs="仿宋_GB2312"/>
          <w:kern w:val="0"/>
          <w:sz w:val="32"/>
          <w:szCs w:val="32"/>
        </w:rPr>
        <w:t> </w:t>
      </w:r>
    </w:p>
    <w:p>
      <w:pPr>
        <w:widowControl/>
        <w:spacing w:line="520" w:lineRule="atLeast"/>
        <w:jc w:val="center"/>
        <w:rPr>
          <w:rFonts w:ascii="黑体" w:hAnsi="黑体" w:eastAsia="黑体" w:cs="黑体"/>
          <w:b/>
          <w:bCs/>
          <w:sz w:val="32"/>
          <w:szCs w:val="32"/>
        </w:rPr>
      </w:pPr>
      <w:r>
        <w:rPr>
          <w:rFonts w:hint="eastAsia" w:ascii="黑体" w:hAnsi="黑体" w:eastAsia="黑体" w:cs="黑体"/>
          <w:b/>
          <w:bCs/>
          <w:kern w:val="0"/>
          <w:sz w:val="32"/>
          <w:szCs w:val="32"/>
        </w:rPr>
        <w:t>第一部分  概况</w:t>
      </w:r>
    </w:p>
    <w:p>
      <w:pPr>
        <w:widowControl/>
        <w:spacing w:line="520" w:lineRule="atLeast"/>
        <w:ind w:firstLine="643"/>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b/>
          <w:kern w:val="0"/>
          <w:sz w:val="32"/>
          <w:szCs w:val="32"/>
        </w:rPr>
        <w:t>主要职责</w:t>
      </w:r>
      <w:r>
        <w:rPr>
          <w:rFonts w:hint="eastAsia" w:ascii="仿宋_GB2312" w:hAnsi="仿宋_GB2312" w:eastAsia="仿宋_GB2312" w:cs="仿宋_GB2312"/>
          <w:kern w:val="0"/>
          <w:sz w:val="32"/>
          <w:szCs w:val="32"/>
        </w:rPr>
        <w:t>：</w:t>
      </w:r>
    </w:p>
    <w:p>
      <w:pPr>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（1）贯彻党的文艺方针和政策。</w:t>
      </w:r>
    </w:p>
    <w:p>
      <w:pPr>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（2）发挥文联人才和专业优势，发展会员，组织创作，艺术交流，发展、繁荣全县文艺事业。</w:t>
      </w:r>
    </w:p>
    <w:p>
      <w:pPr>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（3）对所属文艺家协会、乡镇、企业（行业）文联等文艺组织，履行管理、联络、协调、服务指导。</w:t>
      </w:r>
    </w:p>
    <w:p>
      <w:pPr>
        <w:widowControl/>
        <w:spacing w:line="450" w:lineRule="atLeast"/>
        <w:ind w:left="560"/>
        <w:jc w:val="left"/>
        <w:rPr>
          <w:rFonts w:ascii="仿宋_GB2312" w:hAnsi="仿宋_GB2312" w:eastAsia="仿宋_GB2312" w:cs="仿宋_GB2312"/>
          <w:b/>
          <w:bCs/>
          <w:sz w:val="32"/>
          <w:szCs w:val="32"/>
        </w:rPr>
      </w:pPr>
      <w:r>
        <w:rPr>
          <w:rFonts w:hint="eastAsia" w:ascii="仿宋_GB2312" w:hAnsi="仿宋_GB2312" w:eastAsia="仿宋_GB2312" w:cs="仿宋_GB2312"/>
          <w:b/>
          <w:bCs/>
          <w:kern w:val="0"/>
          <w:sz w:val="32"/>
          <w:szCs w:val="32"/>
        </w:rPr>
        <w:t>二、</w:t>
      </w:r>
      <w:r>
        <w:rPr>
          <w:rFonts w:hint="eastAsia" w:ascii="仿宋_GB2312" w:hAnsi="仿宋_GB2312" w:eastAsia="仿宋_GB2312" w:cs="仿宋_GB2312"/>
          <w:b/>
          <w:bCs/>
          <w:sz w:val="32"/>
          <w:szCs w:val="32"/>
        </w:rPr>
        <w:t>机构设置及部门预算单位构成</w:t>
      </w:r>
    </w:p>
    <w:p>
      <w:pPr>
        <w:widowControl/>
        <w:spacing w:line="360" w:lineRule="auto"/>
        <w:ind w:left="270" w:right="118" w:firstLine="360"/>
        <w:jc w:val="left"/>
        <w:rPr>
          <w:rFonts w:ascii="仿宋_GB2312" w:hAnsi="仿宋_GB2312" w:eastAsia="仿宋_GB2312" w:cs="仿宋_GB2312"/>
          <w:sz w:val="32"/>
          <w:szCs w:val="32"/>
        </w:rPr>
      </w:pPr>
      <w:r>
        <w:rPr>
          <w:rFonts w:hint="eastAsia" w:ascii="仿宋_GB2312" w:hAnsi="仿宋_GB2312" w:eastAsia="仿宋_GB2312" w:cs="仿宋_GB2312"/>
          <w:spacing w:val="2"/>
          <w:kern w:val="0"/>
          <w:sz w:val="32"/>
          <w:szCs w:val="32"/>
        </w:rPr>
        <w:t>（一）机构设置</w:t>
      </w:r>
    </w:p>
    <w:p>
      <w:pPr>
        <w:widowControl/>
        <w:spacing w:line="520" w:lineRule="atLeast"/>
        <w:ind w:firstLine="627"/>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内乡县</w:t>
      </w:r>
      <w:r>
        <w:rPr>
          <w:rFonts w:hint="eastAsia" w:ascii="仿宋_GB2312" w:hAnsi="仿宋_GB2312" w:eastAsia="仿宋_GB2312" w:cs="仿宋_GB2312"/>
          <w:b/>
          <w:bCs/>
          <w:kern w:val="0"/>
          <w:sz w:val="32"/>
          <w:szCs w:val="32"/>
        </w:rPr>
        <w:t>文学艺术界联合会</w:t>
      </w:r>
      <w:r>
        <w:rPr>
          <w:rFonts w:hint="eastAsia" w:ascii="仿宋_GB2312" w:hAnsi="仿宋_GB2312" w:eastAsia="仿宋_GB2312" w:cs="仿宋_GB2312"/>
          <w:kern w:val="0"/>
          <w:sz w:val="32"/>
          <w:szCs w:val="32"/>
        </w:rPr>
        <w:t>内设机构1个，　机关编制人数  7</w:t>
      </w:r>
      <w:r>
        <w:rPr>
          <w:rFonts w:hint="eastAsia" w:ascii="仿宋_GB2312" w:hAnsi="仿宋_GB2312" w:eastAsia="仿宋_GB2312" w:cs="仿宋_GB2312"/>
          <w:color w:val="000000"/>
          <w:kern w:val="0"/>
          <w:sz w:val="32"/>
          <w:szCs w:val="32"/>
        </w:rPr>
        <w:t>人</w:t>
      </w:r>
      <w:r>
        <w:rPr>
          <w:rFonts w:hint="eastAsia" w:ascii="仿宋_GB2312" w:hAnsi="仿宋_GB2312" w:eastAsia="仿宋_GB2312" w:cs="仿宋_GB2312"/>
          <w:kern w:val="0"/>
          <w:sz w:val="32"/>
          <w:szCs w:val="32"/>
        </w:rPr>
        <w:t>、实有人数  7</w:t>
      </w:r>
      <w:r>
        <w:rPr>
          <w:rFonts w:hint="eastAsia" w:ascii="仿宋_GB2312" w:hAnsi="仿宋_GB2312" w:eastAsia="仿宋_GB2312" w:cs="仿宋_GB2312"/>
          <w:color w:val="000000"/>
          <w:kern w:val="0"/>
          <w:sz w:val="32"/>
          <w:szCs w:val="32"/>
        </w:rPr>
        <w:t>人</w:t>
      </w:r>
      <w:r>
        <w:rPr>
          <w:rFonts w:hint="eastAsia" w:ascii="仿宋_GB2312" w:hAnsi="仿宋_GB2312" w:eastAsia="仿宋_GB2312" w:cs="仿宋_GB2312"/>
          <w:kern w:val="0"/>
          <w:sz w:val="32"/>
          <w:szCs w:val="32"/>
        </w:rPr>
        <w:t>。</w:t>
      </w:r>
    </w:p>
    <w:p>
      <w:pPr>
        <w:widowControl/>
        <w:spacing w:line="360" w:lineRule="auto"/>
        <w:ind w:left="270" w:right="118" w:firstLine="360"/>
        <w:jc w:val="left"/>
        <w:rPr>
          <w:rFonts w:ascii="仿宋_GB2312" w:hAnsi="仿宋_GB2312" w:eastAsia="仿宋_GB2312" w:cs="仿宋_GB2312"/>
          <w:spacing w:val="2"/>
          <w:kern w:val="0"/>
          <w:sz w:val="32"/>
          <w:szCs w:val="32"/>
        </w:rPr>
      </w:pPr>
      <w:r>
        <w:rPr>
          <w:rFonts w:hint="eastAsia" w:ascii="仿宋_GB2312" w:hAnsi="仿宋_GB2312" w:eastAsia="仿宋_GB2312" w:cs="仿宋_GB2312"/>
          <w:spacing w:val="2"/>
          <w:kern w:val="0"/>
          <w:sz w:val="32"/>
          <w:szCs w:val="32"/>
        </w:rPr>
        <w:t>（二）部门预算单位构成</w:t>
      </w:r>
    </w:p>
    <w:p>
      <w:pPr>
        <w:widowControl/>
        <w:spacing w:line="540" w:lineRule="atLeast"/>
        <w:ind w:right="118"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从预算单位构成看，内乡县</w:t>
      </w:r>
      <w:r>
        <w:rPr>
          <w:rFonts w:hint="eastAsia" w:ascii="仿宋_GB2312" w:hAnsi="仿宋_GB2312" w:eastAsia="仿宋_GB2312" w:cs="仿宋_GB2312"/>
          <w:b/>
          <w:bCs/>
          <w:kern w:val="0"/>
          <w:sz w:val="32"/>
          <w:szCs w:val="32"/>
        </w:rPr>
        <w:t>文学艺术界联合会</w:t>
      </w:r>
      <w:r>
        <w:rPr>
          <w:rFonts w:hint="eastAsia" w:ascii="仿宋_GB2312" w:hAnsi="仿宋_GB2312" w:eastAsia="仿宋_GB2312" w:cs="仿宋_GB2312"/>
          <w:spacing w:val="2"/>
          <w:kern w:val="0"/>
          <w:sz w:val="32"/>
          <w:szCs w:val="32"/>
        </w:rPr>
        <w:t>部门</w:t>
      </w:r>
      <w:r>
        <w:rPr>
          <w:rFonts w:hint="eastAsia" w:ascii="仿宋_GB2312" w:hAnsi="仿宋_GB2312" w:eastAsia="仿宋_GB2312" w:cs="仿宋_GB2312"/>
          <w:kern w:val="0"/>
          <w:sz w:val="32"/>
          <w:szCs w:val="32"/>
        </w:rPr>
        <w:t>预算</w:t>
      </w:r>
      <w:r>
        <w:rPr>
          <w:rFonts w:hint="eastAsia" w:ascii="仿宋_GB2312" w:hAnsi="仿宋_GB2312" w:eastAsia="仿宋_GB2312" w:cs="仿宋_GB2312"/>
          <w:spacing w:val="2"/>
          <w:kern w:val="0"/>
          <w:sz w:val="32"/>
          <w:szCs w:val="32"/>
        </w:rPr>
        <w:t>包括：</w:t>
      </w:r>
      <w:r>
        <w:rPr>
          <w:rFonts w:hint="eastAsia" w:ascii="仿宋_GB2312" w:hAnsi="仿宋_GB2312" w:eastAsia="仿宋_GB2312" w:cs="仿宋_GB2312"/>
          <w:kern w:val="0"/>
          <w:sz w:val="32"/>
          <w:szCs w:val="32"/>
        </w:rPr>
        <w:t>局</w:t>
      </w:r>
      <w:r>
        <w:rPr>
          <w:rFonts w:hint="eastAsia" w:ascii="仿宋_GB2312" w:hAnsi="仿宋_GB2312" w:eastAsia="仿宋_GB2312" w:cs="仿宋_GB2312"/>
          <w:spacing w:val="2"/>
          <w:kern w:val="0"/>
          <w:sz w:val="32"/>
          <w:szCs w:val="32"/>
        </w:rPr>
        <w:t>机关本级</w:t>
      </w:r>
      <w:r>
        <w:rPr>
          <w:rFonts w:hint="eastAsia" w:ascii="仿宋_GB2312" w:hAnsi="仿宋_GB2312" w:eastAsia="仿宋_GB2312" w:cs="仿宋_GB2312"/>
          <w:spacing w:val="-1"/>
          <w:kern w:val="0"/>
          <w:sz w:val="32"/>
          <w:szCs w:val="32"/>
        </w:rPr>
        <w:t>预算</w:t>
      </w:r>
      <w:r>
        <w:rPr>
          <w:rFonts w:hint="eastAsia" w:ascii="仿宋_GB2312" w:hAnsi="仿宋_GB2312" w:eastAsia="仿宋_GB2312" w:cs="仿宋_GB2312"/>
          <w:spacing w:val="2"/>
          <w:kern w:val="0"/>
          <w:sz w:val="32"/>
          <w:szCs w:val="32"/>
        </w:rPr>
        <w:t>和局属</w:t>
      </w:r>
      <w:r>
        <w:rPr>
          <w:rFonts w:hint="eastAsia" w:ascii="仿宋_GB2312" w:hAnsi="仿宋_GB2312" w:eastAsia="仿宋_GB2312" w:cs="仿宋_GB2312"/>
          <w:spacing w:val="-1"/>
          <w:kern w:val="0"/>
          <w:sz w:val="32"/>
          <w:szCs w:val="32"/>
        </w:rPr>
        <w:t>事业单位</w:t>
      </w:r>
      <w:r>
        <w:rPr>
          <w:rFonts w:hint="eastAsia" w:ascii="仿宋_GB2312" w:hAnsi="仿宋_GB2312" w:eastAsia="仿宋_GB2312" w:cs="仿宋_GB2312"/>
          <w:kern w:val="0"/>
          <w:sz w:val="32"/>
          <w:szCs w:val="32"/>
        </w:rPr>
        <w:t>预算</w:t>
      </w:r>
      <w:r>
        <w:rPr>
          <w:rFonts w:hint="eastAsia" w:ascii="仿宋_GB2312" w:hAnsi="仿宋_GB2312" w:eastAsia="仿宋_GB2312" w:cs="仿宋_GB2312"/>
          <w:spacing w:val="-1"/>
          <w:kern w:val="0"/>
          <w:sz w:val="32"/>
          <w:szCs w:val="32"/>
        </w:rPr>
        <w:t>。</w:t>
      </w:r>
    </w:p>
    <w:p>
      <w:pPr>
        <w:widowControl/>
        <w:spacing w:line="540" w:lineRule="atLeast"/>
        <w:ind w:right="118"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纳入本部门2020年度部门预算编制范围的单位共1 个。</w:t>
      </w:r>
    </w:p>
    <w:p>
      <w:pPr>
        <w:kinsoku w:val="0"/>
        <w:overflowPunct w:val="0"/>
        <w:autoSpaceDE w:val="0"/>
        <w:autoSpaceDN w:val="0"/>
        <w:adjustRightInd w:val="0"/>
        <w:snapToGrid w:val="0"/>
        <w:spacing w:line="360" w:lineRule="auto"/>
        <w:ind w:firstLine="640" w:firstLineChars="200"/>
        <w:jc w:val="left"/>
        <w:rPr>
          <w:rFonts w:ascii="仿宋_GB2312" w:hAnsi="仿宋_GB2312" w:eastAsia="仿宋_GB2312" w:cs="仿宋_GB2312"/>
          <w:sz w:val="32"/>
          <w:szCs w:val="32"/>
        </w:rPr>
      </w:pPr>
      <w:r>
        <w:rPr>
          <w:rFonts w:hint="eastAsia" w:ascii="仿宋_GB2312" w:hAnsi="宋体" w:eastAsia="仿宋_GB2312" w:cs="Courier New"/>
          <w:sz w:val="32"/>
          <w:szCs w:val="32"/>
        </w:rPr>
        <w:t>文联机关本级</w:t>
      </w:r>
    </w:p>
    <w:p>
      <w:pPr>
        <w:widowControl/>
        <w:spacing w:line="540" w:lineRule="atLeast"/>
        <w:ind w:left="760" w:firstLine="356"/>
        <w:jc w:val="left"/>
        <w:rPr>
          <w:rFonts w:ascii="仿宋_GB2312" w:hAnsi="仿宋_GB2312" w:eastAsia="仿宋_GB2312" w:cs="仿宋_GB2312"/>
          <w:sz w:val="32"/>
          <w:szCs w:val="32"/>
        </w:rPr>
      </w:pPr>
    </w:p>
    <w:p>
      <w:pPr>
        <w:widowControl/>
        <w:spacing w:line="540" w:lineRule="atLeast"/>
        <w:ind w:left="760" w:firstLine="356"/>
        <w:jc w:val="left"/>
        <w:rPr>
          <w:rFonts w:ascii="仿宋_GB2312" w:hAnsi="仿宋_GB2312" w:eastAsia="仿宋_GB2312" w:cs="仿宋_GB2312"/>
          <w:sz w:val="32"/>
          <w:szCs w:val="32"/>
        </w:rPr>
      </w:pPr>
    </w:p>
    <w:p>
      <w:pPr>
        <w:widowControl/>
        <w:spacing w:line="540" w:lineRule="atLeast"/>
        <w:ind w:left="760" w:firstLine="356"/>
        <w:jc w:val="left"/>
        <w:rPr>
          <w:rFonts w:ascii="仿宋_GB2312" w:hAnsi="仿宋_GB2312" w:eastAsia="仿宋_GB2312" w:cs="仿宋_GB2312"/>
          <w:sz w:val="32"/>
          <w:szCs w:val="32"/>
        </w:rPr>
      </w:pPr>
    </w:p>
    <w:p>
      <w:pPr>
        <w:widowControl/>
        <w:spacing w:line="540" w:lineRule="atLeast"/>
        <w:ind w:left="760" w:firstLine="356"/>
        <w:jc w:val="left"/>
        <w:rPr>
          <w:rFonts w:ascii="仿宋_GB2312" w:hAnsi="仿宋_GB2312" w:eastAsia="仿宋_GB2312" w:cs="仿宋_GB2312"/>
          <w:sz w:val="32"/>
          <w:szCs w:val="32"/>
        </w:rPr>
      </w:pPr>
    </w:p>
    <w:p>
      <w:pPr>
        <w:widowControl/>
        <w:spacing w:line="540" w:lineRule="atLeast"/>
        <w:ind w:left="760" w:firstLine="356"/>
        <w:jc w:val="left"/>
        <w:rPr>
          <w:rFonts w:ascii="仿宋_GB2312" w:hAnsi="仿宋_GB2312" w:eastAsia="仿宋_GB2312" w:cs="仿宋_GB2312"/>
          <w:sz w:val="32"/>
          <w:szCs w:val="32"/>
        </w:rPr>
      </w:pPr>
    </w:p>
    <w:p>
      <w:pPr>
        <w:widowControl/>
        <w:spacing w:line="520" w:lineRule="atLeas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p>
      <w:pPr>
        <w:widowControl/>
        <w:spacing w:line="520" w:lineRule="atLeast"/>
        <w:jc w:val="center"/>
        <w:rPr>
          <w:rFonts w:ascii="黑体" w:hAnsi="黑体" w:eastAsia="黑体" w:cs="黑体"/>
          <w:kern w:val="0"/>
          <w:sz w:val="32"/>
          <w:szCs w:val="32"/>
        </w:rPr>
      </w:pPr>
      <w:r>
        <w:rPr>
          <w:rFonts w:hint="eastAsia" w:ascii="黑体" w:hAnsi="黑体" w:eastAsia="黑体" w:cs="黑体"/>
          <w:kern w:val="0"/>
          <w:sz w:val="32"/>
          <w:szCs w:val="32"/>
        </w:rPr>
        <w:t>第二部分</w:t>
      </w:r>
    </w:p>
    <w:p>
      <w:pPr>
        <w:widowControl/>
        <w:spacing w:line="520" w:lineRule="atLeast"/>
        <w:jc w:val="center"/>
        <w:rPr>
          <w:rFonts w:ascii="黑体" w:hAnsi="黑体" w:eastAsia="黑体" w:cs="黑体"/>
          <w:kern w:val="0"/>
          <w:sz w:val="32"/>
          <w:szCs w:val="32"/>
        </w:rPr>
      </w:pPr>
      <w:r>
        <w:rPr>
          <w:rFonts w:hint="eastAsia" w:ascii="黑体" w:hAnsi="黑体" w:eastAsia="黑体" w:cs="黑体"/>
          <w:kern w:val="0"/>
          <w:sz w:val="32"/>
          <w:szCs w:val="32"/>
        </w:rPr>
        <w:t>2021年度部门预算情况说明</w:t>
      </w:r>
    </w:p>
    <w:p>
      <w:pPr>
        <w:widowControl/>
        <w:spacing w:line="520" w:lineRule="atLeast"/>
        <w:ind w:firstLine="560"/>
        <w:jc w:val="left"/>
        <w:rPr>
          <w:rFonts w:ascii="仿宋_GB2312" w:hAnsi="仿宋_GB2312" w:eastAsia="仿宋_GB2312" w:cs="仿宋_GB2312"/>
          <w:b/>
          <w:bCs/>
          <w:sz w:val="32"/>
          <w:szCs w:val="32"/>
        </w:rPr>
      </w:pPr>
      <w:r>
        <w:rPr>
          <w:rFonts w:hint="eastAsia" w:ascii="仿宋_GB2312" w:hAnsi="仿宋_GB2312" w:eastAsia="仿宋_GB2312" w:cs="仿宋_GB2312"/>
          <w:b/>
          <w:bCs/>
          <w:kern w:val="0"/>
          <w:sz w:val="32"/>
          <w:szCs w:val="32"/>
        </w:rPr>
        <w:t>一、收入支出预算总体情况说明</w:t>
      </w:r>
    </w:p>
    <w:p>
      <w:pPr>
        <w:widowControl/>
        <w:spacing w:line="5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内乡县文学艺术界联合会2021年收入总计90.8万元，支出总计90.8万元，与上年预算相比 ，收支总计各增加4.31万元，增加4.75%。主要原因为：人员工资增加。</w:t>
      </w:r>
    </w:p>
    <w:p>
      <w:pPr>
        <w:widowControl/>
        <w:spacing w:line="520" w:lineRule="atLeast"/>
        <w:ind w:firstLine="560"/>
        <w:jc w:val="left"/>
        <w:rPr>
          <w:rFonts w:ascii="仿宋_GB2312" w:hAnsi="仿宋_GB2312" w:eastAsia="仿宋_GB2312" w:cs="仿宋_GB2312"/>
          <w:b/>
          <w:bCs/>
          <w:sz w:val="32"/>
          <w:szCs w:val="32"/>
        </w:rPr>
      </w:pPr>
      <w:r>
        <w:rPr>
          <w:rFonts w:hint="eastAsia" w:ascii="仿宋_GB2312" w:hAnsi="仿宋_GB2312" w:eastAsia="仿宋_GB2312" w:cs="仿宋_GB2312"/>
          <w:b/>
          <w:bCs/>
          <w:kern w:val="0"/>
          <w:sz w:val="32"/>
          <w:szCs w:val="32"/>
        </w:rPr>
        <w:t>二、收入预算总体情况说明</w:t>
      </w:r>
    </w:p>
    <w:p>
      <w:pPr>
        <w:widowControl/>
        <w:spacing w:line="5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内乡县文学艺术界联合会2021年收入总计90.8万元，其中：一般公共预算收入90.8万元，政府性基金预算收入0万元，财政专户收入0万元。</w:t>
      </w:r>
    </w:p>
    <w:p>
      <w:pPr>
        <w:widowControl/>
        <w:spacing w:line="520" w:lineRule="atLeast"/>
        <w:ind w:firstLine="560"/>
        <w:jc w:val="left"/>
        <w:rPr>
          <w:rFonts w:ascii="仿宋_GB2312" w:hAnsi="仿宋_GB2312" w:eastAsia="仿宋_GB2312" w:cs="仿宋_GB2312"/>
          <w:b/>
          <w:bCs/>
          <w:sz w:val="32"/>
          <w:szCs w:val="32"/>
        </w:rPr>
      </w:pPr>
      <w:r>
        <w:rPr>
          <w:rFonts w:hint="eastAsia" w:ascii="仿宋_GB2312" w:hAnsi="仿宋_GB2312" w:eastAsia="仿宋_GB2312" w:cs="仿宋_GB2312"/>
          <w:b/>
          <w:bCs/>
          <w:kern w:val="0"/>
          <w:sz w:val="32"/>
          <w:szCs w:val="32"/>
        </w:rPr>
        <w:t>三、支出预算总体情况说明</w:t>
      </w:r>
    </w:p>
    <w:p>
      <w:pPr>
        <w:widowControl/>
        <w:spacing w:line="5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内乡县文学艺术界联合会2021年支出总计90.8万元，其中：基本支出75.8万元，占总支出的83.48%；项目支出15万元，占总支出的16.52%。</w:t>
      </w:r>
    </w:p>
    <w:p>
      <w:pPr>
        <w:widowControl/>
        <w:spacing w:line="520" w:lineRule="atLeast"/>
        <w:ind w:firstLine="56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四、财政拨款收入支出预算总体情况说明</w:t>
      </w:r>
    </w:p>
    <w:p>
      <w:pPr>
        <w:widowControl/>
        <w:spacing w:line="520" w:lineRule="atLeast"/>
        <w:ind w:firstLine="56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内乡县文学艺术界联合会2021年财政拨款收入90.8万元，支出90.8万元；与上年预算相比，财政拨款收支预算增加4.31万元，增加4.75%。主要原因为： 人员工资增加。</w:t>
      </w:r>
    </w:p>
    <w:p>
      <w:pPr>
        <w:widowControl/>
        <w:spacing w:line="520" w:lineRule="atLeast"/>
        <w:ind w:firstLine="640"/>
        <w:jc w:val="left"/>
        <w:rPr>
          <w:rFonts w:ascii="仿宋_GB2312" w:hAnsi="仿宋_GB2312" w:eastAsia="仿宋_GB2312" w:cs="仿宋_GB2312"/>
          <w:b/>
          <w:bCs/>
          <w:sz w:val="32"/>
          <w:szCs w:val="32"/>
        </w:rPr>
      </w:pPr>
      <w:r>
        <w:rPr>
          <w:rFonts w:hint="eastAsia" w:ascii="仿宋_GB2312" w:hAnsi="仿宋_GB2312" w:eastAsia="仿宋_GB2312" w:cs="仿宋_GB2312"/>
          <w:b/>
          <w:bCs/>
          <w:kern w:val="0"/>
          <w:sz w:val="32"/>
          <w:szCs w:val="32"/>
        </w:rPr>
        <w:t> 五、一般公共预算支出预算总体情况说明</w:t>
      </w:r>
    </w:p>
    <w:p>
      <w:pPr>
        <w:widowControl/>
        <w:spacing w:line="450" w:lineRule="atLeast"/>
        <w:ind w:firstLine="64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我部门2021年一般公共预算支出年初预算90.8万元。主要用于文艺方面：一般公共服务（类）支出90.8万元，占100%；教育（类）支出0万元，占0%；社会保障和就业（类）支出0万元，占0%，文化旅游体育与传媒（类）支出0万元，占0%。</w:t>
      </w:r>
    </w:p>
    <w:p>
      <w:pPr>
        <w:widowControl/>
        <w:spacing w:line="520" w:lineRule="atLeast"/>
        <w:ind w:firstLine="56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六、一般公共预算基本支出经济分类情况说明</w:t>
      </w:r>
    </w:p>
    <w:p>
      <w:pPr>
        <w:widowControl/>
        <w:spacing w:line="520" w:lineRule="atLeast"/>
        <w:ind w:firstLine="64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按两套经济分类科目分别反映不同资金来源的全部预算支出。</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内乡县文学艺术界联合会</w:t>
      </w:r>
      <w:r>
        <w:rPr>
          <w:rFonts w:hint="eastAsia" w:ascii="仿宋_GB2312" w:hAnsi="仿宋_GB2312" w:eastAsia="仿宋_GB2312" w:cs="仿宋_GB2312"/>
          <w:sz w:val="32"/>
          <w:szCs w:val="32"/>
        </w:rPr>
        <w:t>2021年一般公共预算基本支出75.8万元，其中：人员经费68.9万元，主要包括：基本工资、津贴补贴、奖金、社会保障缴费、伙食补助费、绩效工资、其他工资福利支出、离休费、退休费、退职（役）费、抚恤金、生活补助、医疗费、助学金、奖励金、住房公积金、提租补贴、购房补贴、其他对个人和家庭的补助支出；公用经费7万元，主要包括：办公费、印刷费、咨询费、手续费、水费、电费、邮电费、取暖费、物业管理费、差旅费、因公出国（境）费、维 修（护）费、租赁费、会议费、培训费、公务接待费、专用材料费、劳务费、委托业务费、工会经费、福利费、公务用车运行维护费、其他交通费用、税金及附加费用、其他商品和服务支出、办公设备购置、专用设备购置、大型修缮、信息网络及软件购置更新、其他资本性支出。</w:t>
      </w:r>
    </w:p>
    <w:p>
      <w:pPr>
        <w:widowControl/>
        <w:spacing w:line="520" w:lineRule="atLeast"/>
        <w:ind w:firstLine="640"/>
        <w:jc w:val="left"/>
        <w:rPr>
          <w:rFonts w:ascii="仿宋_GB2312" w:hAnsi="仿宋_GB2312" w:eastAsia="仿宋_GB2312" w:cs="仿宋_GB2312"/>
          <w:b/>
          <w:bCs/>
          <w:sz w:val="32"/>
          <w:szCs w:val="32"/>
        </w:rPr>
      </w:pPr>
      <w:r>
        <w:rPr>
          <w:rFonts w:hint="eastAsia" w:ascii="仿宋_GB2312" w:hAnsi="仿宋_GB2312" w:eastAsia="仿宋_GB2312" w:cs="仿宋_GB2312"/>
          <w:b/>
          <w:bCs/>
          <w:kern w:val="0"/>
          <w:sz w:val="32"/>
          <w:szCs w:val="32"/>
        </w:rPr>
        <w:t>七、政府性基金预算支出情况说明</w:t>
      </w:r>
    </w:p>
    <w:p>
      <w:pPr>
        <w:widowControl/>
        <w:ind w:left="141" w:firstLine="64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内乡县文学艺术界联合会</w:t>
      </w:r>
      <w:r>
        <w:rPr>
          <w:rFonts w:hint="eastAsia" w:ascii="仿宋_GB2312" w:hAnsi="仿宋_GB2312" w:eastAsia="仿宋_GB2312" w:cs="仿宋_GB2312"/>
          <w:color w:val="000000"/>
          <w:sz w:val="32"/>
          <w:szCs w:val="32"/>
        </w:rPr>
        <w:t>2021年政府性基金预算拨款安排的支出为0万元。</w:t>
      </w:r>
    </w:p>
    <w:p>
      <w:pPr>
        <w:widowControl/>
        <w:spacing w:line="520" w:lineRule="atLeast"/>
        <w:ind w:firstLine="640"/>
        <w:jc w:val="left"/>
        <w:rPr>
          <w:rFonts w:ascii="仿宋_GB2312" w:hAnsi="仿宋_GB2312" w:eastAsia="仿宋_GB2312" w:cs="仿宋_GB2312"/>
          <w:b/>
          <w:bCs/>
          <w:sz w:val="32"/>
          <w:szCs w:val="32"/>
        </w:rPr>
      </w:pPr>
      <w:r>
        <w:rPr>
          <w:rFonts w:hint="eastAsia" w:ascii="仿宋_GB2312" w:hAnsi="仿宋_GB2312" w:eastAsia="仿宋_GB2312" w:cs="仿宋_GB2312"/>
          <w:b/>
          <w:bCs/>
          <w:kern w:val="0"/>
          <w:sz w:val="32"/>
          <w:szCs w:val="32"/>
        </w:rPr>
        <w:t>八、“三公”经费支出预算情况说明</w:t>
      </w:r>
    </w:p>
    <w:p>
      <w:pPr>
        <w:kinsoku w:val="0"/>
        <w:overflowPunct w:val="0"/>
        <w:autoSpaceDE w:val="0"/>
        <w:autoSpaceDN w:val="0"/>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内乡县文学艺术界联合会2021年一般公共预算安排的“三公”经费预算为1.5万元。</w:t>
      </w:r>
      <w:r>
        <w:rPr>
          <w:rFonts w:hint="eastAsia" w:ascii="仿宋_GB2312" w:hAnsi="宋体" w:eastAsia="仿宋_GB2312" w:cs="Courier New"/>
          <w:sz w:val="32"/>
          <w:szCs w:val="32"/>
        </w:rPr>
        <w:t>2021年“三公”经费支出预算数与2020年相比无变化。</w:t>
      </w:r>
    </w:p>
    <w:p>
      <w:pPr>
        <w:widowControl/>
        <w:spacing w:line="520" w:lineRule="atLeast"/>
        <w:ind w:firstLine="64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具体支出情况如下：</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（一）因公出国（境）费</w:t>
      </w:r>
      <w:r>
        <w:rPr>
          <w:rFonts w:hint="eastAsia" w:ascii="仿宋_GB2312" w:hAnsi="宋体" w:eastAsia="仿宋_GB2312" w:cs="Courier New"/>
          <w:sz w:val="32"/>
          <w:szCs w:val="32"/>
        </w:rPr>
        <w:t>  0万元。</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（二）公务用车购置及运行费</w:t>
      </w:r>
      <w:r>
        <w:rPr>
          <w:rFonts w:hint="eastAsia" w:ascii="仿宋_GB2312" w:hAnsi="宋体" w:eastAsia="仿宋_GB2312" w:cs="Courier New"/>
          <w:sz w:val="32"/>
          <w:szCs w:val="32"/>
        </w:rPr>
        <w:t>0万元，其中，公务用车购置费0万元；公务用车运行维护费 0万元。</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（三）公务接待费</w:t>
      </w:r>
      <w:r>
        <w:rPr>
          <w:rFonts w:hint="eastAsia" w:ascii="仿宋_GB2312" w:hAnsi="宋体" w:eastAsia="仿宋_GB2312" w:cs="Courier New"/>
          <w:sz w:val="32"/>
          <w:szCs w:val="32"/>
        </w:rPr>
        <w:t>  1.5万元，主要用于按规定开支的各类公务接待（含外宾接待）支出。预算数与2020年无变化。    </w:t>
      </w:r>
    </w:p>
    <w:p>
      <w:pPr>
        <w:widowControl/>
        <w:spacing w:line="520" w:lineRule="atLeast"/>
        <w:ind w:firstLine="640"/>
        <w:jc w:val="left"/>
        <w:rPr>
          <w:rFonts w:ascii="仿宋_GB2312" w:hAnsi="仿宋_GB2312" w:eastAsia="仿宋_GB2312" w:cs="仿宋_GB2312"/>
          <w:b/>
          <w:bCs/>
          <w:sz w:val="32"/>
          <w:szCs w:val="32"/>
        </w:rPr>
      </w:pPr>
      <w:r>
        <w:rPr>
          <w:rFonts w:hint="eastAsia" w:ascii="仿宋_GB2312" w:hAnsi="仿宋_GB2312" w:eastAsia="仿宋_GB2312" w:cs="仿宋_GB2312"/>
          <w:b/>
          <w:bCs/>
          <w:kern w:val="0"/>
          <w:sz w:val="32"/>
          <w:szCs w:val="32"/>
        </w:rPr>
        <w:t>九、其他重要事项情况的说明 </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rPr>
      </w:pPr>
      <w:r>
        <w:rPr>
          <w:rFonts w:hint="eastAsia" w:ascii="仿宋_GB2312" w:hAnsi="宋体" w:eastAsia="仿宋_GB2312" w:cs="Courier New"/>
          <w:b/>
          <w:bCs/>
          <w:sz w:val="32"/>
          <w:szCs w:val="32"/>
        </w:rPr>
        <w:t>（一）机关运行经费支出情况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2021年我单位一般公共预算财政拨款的机关运行经费支出为87.4万元，主要用于保障机关正常运转等经费。</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rPr>
      </w:pPr>
      <w:r>
        <w:rPr>
          <w:rFonts w:hint="eastAsia" w:ascii="仿宋_GB2312" w:hAnsi="宋体" w:eastAsia="仿宋_GB2312" w:cs="Courier New"/>
          <w:b/>
          <w:bCs/>
          <w:sz w:val="32"/>
          <w:szCs w:val="32"/>
        </w:rPr>
        <w:t>（二）政府采购支出情况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2021年政府采购预算安排 0万。</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rPr>
      </w:pPr>
      <w:r>
        <w:rPr>
          <w:rFonts w:hint="eastAsia" w:ascii="仿宋_GB2312" w:hAnsi="宋体" w:eastAsia="仿宋_GB2312" w:cs="Courier New"/>
          <w:b/>
          <w:bCs/>
          <w:sz w:val="32"/>
          <w:szCs w:val="32"/>
        </w:rPr>
        <w:t>（三）绩效目标设置情况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2021年我单位未安排预算绩效目标。</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rPr>
      </w:pPr>
      <w:r>
        <w:rPr>
          <w:rFonts w:hint="eastAsia" w:ascii="仿宋_GB2312" w:hAnsi="宋体" w:eastAsia="仿宋_GB2312" w:cs="Courier New"/>
          <w:b/>
          <w:bCs/>
          <w:sz w:val="32"/>
          <w:szCs w:val="32"/>
        </w:rPr>
        <w:t>（四）国有资产占用情况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2021年末，我单位所属单位共有车改保留车辆0辆，其中：应急保障用车0辆、一般执法执勤用车0辆、特种专业技术用车0辆，离退休干部用车0辆，其他用车0辆；单价50万元以上通用设备0台（套）。</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rPr>
      </w:pPr>
      <w:r>
        <w:rPr>
          <w:rFonts w:hint="eastAsia" w:ascii="仿宋_GB2312" w:hAnsi="宋体" w:eastAsia="仿宋_GB2312" w:cs="Courier New"/>
          <w:b/>
          <w:bCs/>
          <w:sz w:val="32"/>
          <w:szCs w:val="32"/>
        </w:rPr>
        <w:t>（五）专项转移支付项目情况</w:t>
      </w:r>
    </w:p>
    <w:p>
      <w:pPr>
        <w:widowControl/>
        <w:spacing w:line="520" w:lineRule="atLeast"/>
        <w:ind w:firstLine="64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内乡县文学艺术界联合会2021年无专项转移支付项目。</w:t>
      </w:r>
    </w:p>
    <w:p>
      <w:pPr>
        <w:widowControl/>
        <w:spacing w:line="520" w:lineRule="atLeas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p>
      <w:pPr>
        <w:widowControl/>
        <w:spacing w:line="450" w:lineRule="atLeast"/>
        <w:ind w:firstLine="2940"/>
        <w:jc w:val="left"/>
        <w:rPr>
          <w:rFonts w:ascii="黑体" w:hAnsi="黑体" w:eastAsia="黑体" w:cs="黑体"/>
          <w:sz w:val="32"/>
          <w:szCs w:val="32"/>
        </w:rPr>
      </w:pPr>
      <w:r>
        <w:rPr>
          <w:rFonts w:hint="eastAsia" w:ascii="黑体" w:hAnsi="黑体" w:eastAsia="黑体" w:cs="黑体"/>
          <w:kern w:val="0"/>
          <w:sz w:val="32"/>
          <w:szCs w:val="32"/>
        </w:rPr>
        <w:t>第三部分名词解释</w:t>
      </w:r>
    </w:p>
    <w:p>
      <w:pPr>
        <w:widowControl/>
        <w:spacing w:line="450" w:lineRule="atLeast"/>
        <w:jc w:val="left"/>
        <w:rPr>
          <w:rFonts w:ascii="仿宋_GB2312" w:hAnsi="仿宋_GB2312" w:eastAsia="仿宋_GB2312" w:cs="仿宋_GB2312"/>
          <w:kern w:val="0"/>
          <w:sz w:val="32"/>
          <w:szCs w:val="32"/>
        </w:rPr>
      </w:pPr>
    </w:p>
    <w:p>
      <w:pPr>
        <w:widowControl/>
        <w:spacing w:line="450" w:lineRule="atLeast"/>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一、财政拨款收入：是指县级财政当年拨付的资金。</w:t>
      </w:r>
    </w:p>
    <w:p>
      <w:pPr>
        <w:widowControl/>
        <w:spacing w:line="450" w:lineRule="atLeast"/>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二、事业收入：是指事业单位开展专业活动及辅助活动所取得的收入。</w:t>
      </w:r>
    </w:p>
    <w:p>
      <w:pPr>
        <w:widowControl/>
        <w:spacing w:line="450" w:lineRule="atLeast"/>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三、其他收入：是指部门取得的除“财政拨款”、“事业收入”、“事业单位经营收入”等以外的收入。</w:t>
      </w:r>
    </w:p>
    <w:p>
      <w:pPr>
        <w:widowControl/>
        <w:spacing w:line="450" w:lineRule="atLeast"/>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widowControl/>
        <w:spacing w:line="450" w:lineRule="atLeast"/>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五、基本支出：是指为保障机构正常运转、完成日常工作任务所必需的开支，其内容包括人员经费和日常公用经费两部分。</w:t>
      </w:r>
    </w:p>
    <w:p>
      <w:pPr>
        <w:widowControl/>
        <w:spacing w:line="450" w:lineRule="atLeast"/>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六、项目支出：是指在基本支出之外，为完成特定的行政工作任务或事业发展目标所发生的支出。</w:t>
      </w:r>
    </w:p>
    <w:p>
      <w:pPr>
        <w:widowControl/>
        <w:spacing w:line="450" w:lineRule="atLeast"/>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七、“三公”经费：是指纳入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widowControl/>
        <w:spacing w:line="450" w:lineRule="atLeast"/>
        <w:jc w:val="left"/>
        <w:rPr>
          <w:rFonts w:hint="eastAsia" w:ascii="仿宋_GB2312" w:hAnsi="仿宋_GB2312" w:eastAsia="仿宋_GB2312" w:cs="仿宋_GB2312"/>
          <w:kern w:val="0"/>
          <w:sz w:val="32"/>
          <w:szCs w:val="32"/>
        </w:rPr>
        <w:sectPr>
          <w:headerReference r:id="rId3" w:type="default"/>
          <w:footerReference r:id="rId4" w:type="default"/>
          <w:pgSz w:w="11906" w:h="16838"/>
          <w:pgMar w:top="1440" w:right="1417" w:bottom="1440" w:left="1800" w:header="851" w:footer="992" w:gutter="0"/>
          <w:cols w:space="720" w:num="1"/>
          <w:docGrid w:type="lines" w:linePitch="312" w:charSpace="0"/>
        </w:sectPr>
      </w:pPr>
      <w:r>
        <w:rPr>
          <w:rFonts w:hint="eastAsia" w:ascii="仿宋_GB2312" w:hAnsi="仿宋_GB2312" w:eastAsia="仿宋_GB2312" w:cs="仿宋_GB2312"/>
          <w:kern w:val="0"/>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tbl>
      <w:tblPr>
        <w:tblStyle w:val="4"/>
        <w:tblW w:w="159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36"/>
        <w:gridCol w:w="718"/>
        <w:gridCol w:w="2625"/>
        <w:gridCol w:w="718"/>
        <w:gridCol w:w="718"/>
        <w:gridCol w:w="1840"/>
        <w:gridCol w:w="1167"/>
        <w:gridCol w:w="1167"/>
        <w:gridCol w:w="728"/>
        <w:gridCol w:w="728"/>
        <w:gridCol w:w="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5940" w:type="dxa"/>
            <w:gridSpan w:val="11"/>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0" w:type="auto"/>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2021年部门收支预算总表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部门名称：内乡县文学艺术界联合会</w:t>
            </w:r>
          </w:p>
        </w:tc>
        <w:tc>
          <w:tcPr>
            <w:tcW w:w="0" w:type="auto"/>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0" w:type="auto"/>
            <w:gridSpan w:val="4"/>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收        入</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总计</w:t>
            </w:r>
          </w:p>
        </w:tc>
        <w:tc>
          <w:tcPr>
            <w:tcW w:w="0" w:type="auto"/>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一般公共预算支出</w:t>
            </w: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基金安排</w:t>
            </w: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专户安排</w:t>
            </w:r>
          </w:p>
        </w:tc>
        <w:tc>
          <w:tcPr>
            <w:tcW w:w="77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本级财力补助下级支出</w:t>
            </w:r>
          </w:p>
        </w:tc>
        <w:tc>
          <w:tcPr>
            <w:tcW w:w="77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上年结转安排</w:t>
            </w:r>
          </w:p>
        </w:tc>
        <w:tc>
          <w:tcPr>
            <w:tcW w:w="87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提前下达转移支付安排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0" w:type="auto"/>
            <w:tcBorders>
              <w:top w:val="single" w:color="000000" w:sz="4" w:space="0"/>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其中：财政拨款</w:t>
            </w: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7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7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450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90.8 </w:t>
            </w:r>
          </w:p>
        </w:tc>
        <w:tc>
          <w:tcPr>
            <w:tcW w:w="0" w:type="auto"/>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一、基本支出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75.8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75.8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75.8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4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二、收费安排</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1、行政人员经费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68.9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68.9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68.9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4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三、专项收入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2、事业人员经费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4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四、罚没收入</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3、公用支出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4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五、国有资本收益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二、项目支出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4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六、政府住房基金收入</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1、一般性项目支出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trPr>
        <w:tc>
          <w:tcPr>
            <w:tcW w:w="4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七、政府性基金</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2、专项支出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trPr>
        <w:tc>
          <w:tcPr>
            <w:tcW w:w="4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八、专户收入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2.1、政策性配套支出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trPr>
        <w:tc>
          <w:tcPr>
            <w:tcW w:w="450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九、结余结转收入</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2.2、事业发展专项支出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trPr>
        <w:tc>
          <w:tcPr>
            <w:tcW w:w="450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十、本级财力补助下级支出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2.3、其他资本性支出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trPr>
        <w:tc>
          <w:tcPr>
            <w:tcW w:w="450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十一、提前下达转移支付支出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2.4、偿债支出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trPr>
        <w:tc>
          <w:tcPr>
            <w:tcW w:w="0" w:type="auto"/>
            <w:tcBorders>
              <w:top w:val="single" w:color="000000" w:sz="4" w:space="0"/>
              <w:left w:val="single" w:color="000000" w:sz="4" w:space="0"/>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2.5、其他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90.8 </w:t>
            </w:r>
          </w:p>
        </w:tc>
        <w:tc>
          <w:tcPr>
            <w:tcW w:w="0" w:type="auto"/>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bl>
    <w:p>
      <w:pPr>
        <w:widowControl/>
        <w:spacing w:line="450" w:lineRule="atLeast"/>
        <w:jc w:val="left"/>
        <w:rPr>
          <w:rFonts w:hint="eastAsia" w:ascii="仿宋_GB2312" w:hAnsi="仿宋_GB2312" w:eastAsia="仿宋_GB2312" w:cs="仿宋_GB2312"/>
          <w:kern w:val="0"/>
          <w:sz w:val="32"/>
          <w:szCs w:val="32"/>
        </w:rPr>
      </w:pPr>
    </w:p>
    <w:tbl>
      <w:tblPr>
        <w:tblStyle w:val="4"/>
        <w:tblW w:w="148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328"/>
        <w:gridCol w:w="841"/>
        <w:gridCol w:w="16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14800" w:type="dxa"/>
            <w:gridSpan w:val="3"/>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2021年部门收入预算总表</w:t>
            </w:r>
          </w:p>
        </w:tc>
        <w:tc>
          <w:tcPr>
            <w:tcW w:w="0" w:type="auto"/>
            <w:tcBorders>
              <w:top w:val="nil"/>
              <w:left w:val="nil"/>
              <w:bottom w:val="nil"/>
              <w:right w:val="nil"/>
            </w:tcBorders>
            <w:shd w:val="clear" w:color="auto" w:fill="auto"/>
            <w:noWrap/>
            <w:vAlign w:val="bottom"/>
          </w:tcPr>
          <w:p>
            <w:pPr>
              <w:jc w:val="both"/>
              <w:rPr>
                <w:rFonts w:hint="eastAsia" w:ascii="宋体" w:hAnsi="宋体" w:eastAsia="宋体" w:cs="宋体"/>
                <w:b/>
                <w:bCs/>
                <w:i w:val="0"/>
                <w:iCs w:val="0"/>
                <w:color w:val="000000"/>
                <w:sz w:val="40"/>
                <w:szCs w:val="40"/>
                <w:u w:val="none"/>
              </w:rPr>
            </w:pPr>
          </w:p>
        </w:tc>
        <w:tc>
          <w:tcPr>
            <w:tcW w:w="0" w:type="auto"/>
            <w:tcBorders>
              <w:top w:val="nil"/>
              <w:left w:val="nil"/>
              <w:bottom w:val="nil"/>
              <w:right w:val="nil"/>
            </w:tcBorders>
            <w:shd w:val="clear" w:color="auto" w:fill="auto"/>
            <w:noWrap/>
            <w:vAlign w:val="center"/>
          </w:tcPr>
          <w:p>
            <w:pPr>
              <w:jc w:val="both"/>
              <w:rPr>
                <w:rFonts w:hint="eastAsia" w:ascii="宋体" w:hAnsi="宋体" w:eastAsia="宋体" w:cs="宋体"/>
                <w:b/>
                <w:bCs/>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部门名称：内乡县文学艺术界联合会</w:t>
            </w:r>
          </w:p>
        </w:tc>
        <w:tc>
          <w:tcPr>
            <w:tcW w:w="0" w:type="auto"/>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收        入</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214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二、收费安排</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三、专项收入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四、罚没收入</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五、国有资本收益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六、政府住房基金收入</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七、政府性基金</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八、专户收入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214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九、结余结转收入</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214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十、本级财力补助下级支出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214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十一、提前下达转移支付支出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p>
        </w:tc>
      </w:tr>
    </w:tbl>
    <w:p>
      <w:pPr>
        <w:widowControl/>
        <w:spacing w:line="450" w:lineRule="atLeast"/>
        <w:jc w:val="left"/>
        <w:rPr>
          <w:rFonts w:hint="eastAsia" w:ascii="仿宋_GB2312" w:hAnsi="仿宋_GB2312" w:eastAsia="仿宋_GB2312" w:cs="仿宋_GB2312"/>
          <w:kern w:val="0"/>
          <w:sz w:val="32"/>
          <w:szCs w:val="32"/>
        </w:rPr>
      </w:pPr>
    </w:p>
    <w:tbl>
      <w:tblPr>
        <w:tblStyle w:val="4"/>
        <w:tblW w:w="147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349"/>
        <w:gridCol w:w="529"/>
        <w:gridCol w:w="512"/>
        <w:gridCol w:w="994"/>
        <w:gridCol w:w="1230"/>
        <w:gridCol w:w="1075"/>
        <w:gridCol w:w="1492"/>
        <w:gridCol w:w="1154"/>
        <w:gridCol w:w="882"/>
        <w:gridCol w:w="956"/>
        <w:gridCol w:w="1107"/>
        <w:gridCol w:w="1145"/>
        <w:gridCol w:w="1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6" w:hRule="atLeast"/>
        </w:trPr>
        <w:tc>
          <w:tcPr>
            <w:tcW w:w="14740" w:type="dxa"/>
            <w:gridSpan w:val="13"/>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4" w:hRule="atLeast"/>
        </w:trPr>
        <w:tc>
          <w:tcPr>
            <w:tcW w:w="0" w:type="auto"/>
            <w:gridSpan w:val="1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2021年部门支出总体情况表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6"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内乡县文学艺术界联合会</w:t>
            </w: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9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单位代码</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单位（科目名称）</w:t>
            </w:r>
          </w:p>
        </w:tc>
        <w:tc>
          <w:tcPr>
            <w:tcW w:w="1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总计</w:t>
            </w:r>
          </w:p>
        </w:tc>
        <w:tc>
          <w:tcPr>
            <w:tcW w:w="0" w:type="auto"/>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0" w:type="auto"/>
            <w:tcBorders>
              <w:top w:val="single" w:color="000000" w:sz="4" w:space="0"/>
              <w:left w:val="nil"/>
              <w:bottom w:val="single" w:color="000000" w:sz="4" w:space="0"/>
              <w:right w:val="nil"/>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0" w:type="auto"/>
            <w:tcBorders>
              <w:top w:val="single" w:color="000000" w:sz="4" w:space="0"/>
              <w:left w:val="nil"/>
              <w:bottom w:val="single" w:color="000000" w:sz="4" w:space="0"/>
              <w:right w:val="nil"/>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c>
          <w:tcPr>
            <w:tcW w:w="0" w:type="auto"/>
            <w:tcBorders>
              <w:top w:val="single" w:color="000000" w:sz="4" w:space="0"/>
              <w:left w:val="nil"/>
              <w:bottom w:val="single" w:color="000000" w:sz="4" w:space="0"/>
              <w:right w:val="nil"/>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行政人员经费</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事业人员经费</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公用经费</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一般性项目</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7"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30"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atLeast"/>
        </w:trPr>
        <w:tc>
          <w:tcPr>
            <w:tcW w:w="2349"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9"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2"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4" w:type="dxa"/>
            <w:tcBorders>
              <w:top w:val="single" w:color="000000" w:sz="4" w:space="0"/>
              <w:left w:val="single" w:color="000000" w:sz="4" w:space="0"/>
              <w:bottom w:val="single" w:color="000000" w:sz="4" w:space="0"/>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90.8 </w:t>
            </w:r>
          </w:p>
        </w:tc>
        <w:tc>
          <w:tcPr>
            <w:tcW w:w="149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75.8 </w:t>
            </w:r>
          </w:p>
        </w:tc>
        <w:tc>
          <w:tcPr>
            <w:tcW w:w="1154"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68.9 </w:t>
            </w:r>
          </w:p>
        </w:tc>
        <w:tc>
          <w:tcPr>
            <w:tcW w:w="882"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5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7.0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 </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7" w:hRule="atLeast"/>
        </w:trPr>
        <w:tc>
          <w:tcPr>
            <w:tcW w:w="2349"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9"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2"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124001</w:t>
            </w:r>
          </w:p>
        </w:tc>
        <w:tc>
          <w:tcPr>
            <w:tcW w:w="12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内乡县文学艺术界联合会机关</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90.8 </w:t>
            </w:r>
          </w:p>
        </w:tc>
        <w:tc>
          <w:tcPr>
            <w:tcW w:w="149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75.8 </w:t>
            </w:r>
          </w:p>
        </w:tc>
        <w:tc>
          <w:tcPr>
            <w:tcW w:w="1154"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68.9 </w:t>
            </w:r>
          </w:p>
        </w:tc>
        <w:tc>
          <w:tcPr>
            <w:tcW w:w="882"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5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7.0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 </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8" w:hRule="atLeast"/>
        </w:trPr>
        <w:tc>
          <w:tcPr>
            <w:tcW w:w="234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w:t>
            </w:r>
          </w:p>
        </w:tc>
        <w:tc>
          <w:tcPr>
            <w:tcW w:w="52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51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w:t>
            </w:r>
          </w:p>
        </w:tc>
        <w:tc>
          <w:tcPr>
            <w:tcW w:w="99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124001</w:t>
            </w:r>
          </w:p>
        </w:tc>
        <w:tc>
          <w:tcPr>
            <w:tcW w:w="12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一般行政管理事务（群众团体事务）</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 </w:t>
            </w:r>
          </w:p>
        </w:tc>
        <w:tc>
          <w:tcPr>
            <w:tcW w:w="1492" w:type="dxa"/>
            <w:tcBorders>
              <w:top w:val="single" w:color="000000" w:sz="4" w:space="0"/>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54" w:type="dxa"/>
            <w:tcBorders>
              <w:top w:val="single" w:color="000000" w:sz="4" w:space="0"/>
              <w:left w:val="nil"/>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82"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56"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 </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7" w:hRule="atLeast"/>
        </w:trPr>
        <w:tc>
          <w:tcPr>
            <w:tcW w:w="234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w:t>
            </w:r>
          </w:p>
        </w:tc>
        <w:tc>
          <w:tcPr>
            <w:tcW w:w="52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51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99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124001</w:t>
            </w:r>
          </w:p>
        </w:tc>
        <w:tc>
          <w:tcPr>
            <w:tcW w:w="12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行政运行（组织事务）</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0.4 </w:t>
            </w:r>
          </w:p>
        </w:tc>
        <w:tc>
          <w:tcPr>
            <w:tcW w:w="149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0.4 </w:t>
            </w:r>
          </w:p>
        </w:tc>
        <w:tc>
          <w:tcPr>
            <w:tcW w:w="1154"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0.4 </w:t>
            </w:r>
          </w:p>
        </w:tc>
        <w:tc>
          <w:tcPr>
            <w:tcW w:w="882"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56"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7" w:hRule="atLeast"/>
        </w:trPr>
        <w:tc>
          <w:tcPr>
            <w:tcW w:w="234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w:t>
            </w:r>
          </w:p>
        </w:tc>
        <w:tc>
          <w:tcPr>
            <w:tcW w:w="52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51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99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124001</w:t>
            </w:r>
          </w:p>
        </w:tc>
        <w:tc>
          <w:tcPr>
            <w:tcW w:w="12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行政运行（宣传事务）</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87.4 </w:t>
            </w:r>
          </w:p>
        </w:tc>
        <w:tc>
          <w:tcPr>
            <w:tcW w:w="149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75.4 </w:t>
            </w:r>
          </w:p>
        </w:tc>
        <w:tc>
          <w:tcPr>
            <w:tcW w:w="1154"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68.5 </w:t>
            </w:r>
          </w:p>
        </w:tc>
        <w:tc>
          <w:tcPr>
            <w:tcW w:w="882"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5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7.0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 </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bl>
    <w:p>
      <w:pPr>
        <w:widowControl/>
        <w:spacing w:line="450" w:lineRule="atLeast"/>
        <w:jc w:val="left"/>
        <w:rPr>
          <w:rFonts w:hint="eastAsia" w:ascii="仿宋_GB2312" w:hAnsi="仿宋_GB2312" w:eastAsia="仿宋_GB2312" w:cs="仿宋_GB2312"/>
          <w:kern w:val="0"/>
          <w:sz w:val="32"/>
          <w:szCs w:val="32"/>
        </w:rPr>
      </w:pPr>
    </w:p>
    <w:p>
      <w:pPr>
        <w:widowControl/>
        <w:spacing w:line="450" w:lineRule="atLeast"/>
        <w:jc w:val="left"/>
        <w:rPr>
          <w:rFonts w:hint="eastAsia" w:ascii="仿宋_GB2312" w:hAnsi="仿宋_GB2312" w:eastAsia="仿宋_GB2312" w:cs="仿宋_GB2312"/>
          <w:kern w:val="0"/>
          <w:sz w:val="32"/>
          <w:szCs w:val="32"/>
        </w:rPr>
      </w:pPr>
    </w:p>
    <w:tbl>
      <w:tblPr>
        <w:tblStyle w:val="4"/>
        <w:tblW w:w="146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603"/>
        <w:gridCol w:w="771"/>
        <w:gridCol w:w="2818"/>
        <w:gridCol w:w="14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4685" w:type="dxa"/>
            <w:gridSpan w:val="4"/>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bookmarkStart w:id="0" w:name="RANGE!A1:K22"/>
            <w:bookmarkEnd w:id="0"/>
            <w:r>
              <w:rPr>
                <w:rFonts w:hint="eastAsia" w:ascii="宋体" w:hAnsi="宋体" w:eastAsia="宋体" w:cs="宋体"/>
                <w:i w:val="0"/>
                <w:iCs w:val="0"/>
                <w:color w:val="000000"/>
                <w:kern w:val="0"/>
                <w:sz w:val="20"/>
                <w:szCs w:val="20"/>
                <w:u w:val="none"/>
                <w:lang w:val="en-US" w:eastAsia="zh-CN" w:bidi="ar"/>
              </w:rPr>
              <w:t>预算04表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44"/>
                <w:szCs w:val="44"/>
                <w:u w:val="none"/>
              </w:rPr>
            </w:pPr>
            <w:r>
              <w:rPr>
                <w:rFonts w:hint="eastAsia" w:ascii="宋体" w:hAnsi="宋体" w:cs="宋体"/>
                <w:b/>
                <w:bCs/>
                <w:i w:val="0"/>
                <w:iCs w:val="0"/>
                <w:color w:val="000000"/>
                <w:kern w:val="0"/>
                <w:sz w:val="44"/>
                <w:szCs w:val="44"/>
                <w:u w:val="none"/>
                <w:lang w:val="en-US" w:eastAsia="zh-CN" w:bidi="ar"/>
              </w:rPr>
              <w:t xml:space="preserve">   </w:t>
            </w:r>
            <w:r>
              <w:rPr>
                <w:rFonts w:hint="eastAsia" w:ascii="宋体" w:hAnsi="宋体" w:eastAsia="宋体" w:cs="宋体"/>
                <w:b/>
                <w:bCs/>
                <w:i w:val="0"/>
                <w:iCs w:val="0"/>
                <w:color w:val="000000"/>
                <w:kern w:val="0"/>
                <w:sz w:val="44"/>
                <w:szCs w:val="44"/>
                <w:u w:val="none"/>
                <w:lang w:val="en-US" w:eastAsia="zh-CN" w:bidi="ar"/>
              </w:rPr>
              <w:t>2021年财政拨款预算收支情况表</w:t>
            </w:r>
          </w:p>
        </w:tc>
        <w:tc>
          <w:tcPr>
            <w:tcW w:w="0" w:type="auto"/>
            <w:tcBorders>
              <w:top w:val="nil"/>
              <w:left w:val="nil"/>
              <w:bottom w:val="nil"/>
              <w:right w:val="nil"/>
            </w:tcBorders>
            <w:shd w:val="clear" w:color="auto" w:fill="auto"/>
            <w:noWrap/>
            <w:vAlign w:val="bottom"/>
          </w:tcPr>
          <w:p>
            <w:pPr>
              <w:jc w:val="both"/>
              <w:rPr>
                <w:rFonts w:hint="eastAsia" w:ascii="宋体" w:hAnsi="宋体" w:eastAsia="宋体" w:cs="宋体"/>
                <w:b/>
                <w:bCs/>
                <w:i w:val="0"/>
                <w:iCs w:val="0"/>
                <w:color w:val="000000"/>
                <w:sz w:val="40"/>
                <w:szCs w:val="40"/>
                <w:u w:val="none"/>
              </w:rPr>
            </w:pPr>
          </w:p>
        </w:tc>
        <w:tc>
          <w:tcPr>
            <w:tcW w:w="0" w:type="auto"/>
            <w:tcBorders>
              <w:top w:val="nil"/>
              <w:left w:val="nil"/>
              <w:bottom w:val="nil"/>
              <w:right w:val="nil"/>
            </w:tcBorders>
            <w:shd w:val="clear" w:color="auto" w:fill="auto"/>
            <w:noWrap/>
            <w:vAlign w:val="bottom"/>
          </w:tcPr>
          <w:p>
            <w:pPr>
              <w:jc w:val="both"/>
              <w:rPr>
                <w:rFonts w:hint="eastAsia" w:ascii="宋体" w:hAnsi="宋体" w:eastAsia="宋体" w:cs="宋体"/>
                <w:b/>
                <w:bCs/>
                <w:i w:val="0"/>
                <w:iCs w:val="0"/>
                <w:color w:val="000000"/>
                <w:sz w:val="40"/>
                <w:szCs w:val="40"/>
                <w:u w:val="none"/>
              </w:rPr>
            </w:pPr>
          </w:p>
        </w:tc>
        <w:tc>
          <w:tcPr>
            <w:tcW w:w="0" w:type="auto"/>
            <w:tcBorders>
              <w:top w:val="nil"/>
              <w:left w:val="nil"/>
              <w:bottom w:val="nil"/>
              <w:right w:val="nil"/>
            </w:tcBorders>
            <w:shd w:val="clear" w:color="auto" w:fill="auto"/>
            <w:noWrap/>
            <w:vAlign w:val="bottom"/>
          </w:tcPr>
          <w:p>
            <w:pPr>
              <w:jc w:val="both"/>
              <w:rPr>
                <w:rFonts w:hint="eastAsia" w:ascii="宋体" w:hAnsi="宋体" w:eastAsia="宋体" w:cs="宋体"/>
                <w:b/>
                <w:bCs/>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部门名称：内乡县文学艺术界联合会</w:t>
            </w:r>
          </w:p>
        </w:tc>
        <w:tc>
          <w:tcPr>
            <w:tcW w:w="0" w:type="auto"/>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收        入</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w:t>
            </w:r>
          </w:p>
        </w:tc>
        <w:tc>
          <w:tcPr>
            <w:tcW w:w="0" w:type="auto"/>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37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90.9 </w:t>
            </w:r>
          </w:p>
        </w:tc>
        <w:tc>
          <w:tcPr>
            <w:tcW w:w="0" w:type="auto"/>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一、基本支出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1、行政人员经费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2、事业人员经费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3、公用支出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二、项目支出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1、一般性项目支出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2、专项支出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2.1、政策性配套支出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3780" w:type="dxa"/>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2.2、事业发展专项支出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3780" w:type="dxa"/>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2.3、其他资本性支出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3780" w:type="dxa"/>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2.4、偿债支出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2.5、其他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90.9 </w:t>
            </w:r>
          </w:p>
        </w:tc>
        <w:tc>
          <w:tcPr>
            <w:tcW w:w="0" w:type="auto"/>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90.8 </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tbl>
      <w:tblPr>
        <w:tblStyle w:val="4"/>
        <w:tblW w:w="149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67"/>
        <w:gridCol w:w="821"/>
        <w:gridCol w:w="907"/>
        <w:gridCol w:w="1963"/>
        <w:gridCol w:w="1129"/>
        <w:gridCol w:w="1249"/>
        <w:gridCol w:w="1249"/>
        <w:gridCol w:w="1026"/>
        <w:gridCol w:w="1369"/>
        <w:gridCol w:w="1438"/>
        <w:gridCol w:w="1337"/>
        <w:gridCol w:w="1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1" w:hRule="atLeast"/>
        </w:trPr>
        <w:tc>
          <w:tcPr>
            <w:tcW w:w="14980" w:type="dxa"/>
            <w:gridSpan w:val="1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2" w:hRule="atLeast"/>
        </w:trPr>
        <w:tc>
          <w:tcPr>
            <w:tcW w:w="0" w:type="auto"/>
            <w:gridSpan w:val="1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2021年一般公共预算支出情况表(按功能分类)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1" w:hRule="atLeast"/>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部门名称:内乡县文学艺术界联合会</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19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单位（科目名称）</w:t>
            </w:r>
          </w:p>
        </w:tc>
        <w:tc>
          <w:tcPr>
            <w:tcW w:w="11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19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行政人员经费</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事业人员经费</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公用经费</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一般性项目</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6"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963"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1067"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1"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7"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6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90.8 </w:t>
            </w:r>
          </w:p>
        </w:tc>
        <w:tc>
          <w:tcPr>
            <w:tcW w:w="124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75.8 </w:t>
            </w:r>
          </w:p>
        </w:tc>
        <w:tc>
          <w:tcPr>
            <w:tcW w:w="1249"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68.9 </w:t>
            </w:r>
          </w:p>
        </w:tc>
        <w:tc>
          <w:tcPr>
            <w:tcW w:w="1026"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6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7.0 </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 </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 </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2" w:hRule="atLeast"/>
        </w:trPr>
        <w:tc>
          <w:tcPr>
            <w:tcW w:w="1067"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1"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7"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6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内乡县文学艺术界联合会机关</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90.8 </w:t>
            </w:r>
          </w:p>
        </w:tc>
        <w:tc>
          <w:tcPr>
            <w:tcW w:w="124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75.8 </w:t>
            </w:r>
          </w:p>
        </w:tc>
        <w:tc>
          <w:tcPr>
            <w:tcW w:w="1249"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68.9 </w:t>
            </w:r>
          </w:p>
        </w:tc>
        <w:tc>
          <w:tcPr>
            <w:tcW w:w="1026"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6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7.0 </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 </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 </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7" w:hRule="atLeast"/>
        </w:trPr>
        <w:tc>
          <w:tcPr>
            <w:tcW w:w="106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w:t>
            </w:r>
          </w:p>
        </w:tc>
        <w:tc>
          <w:tcPr>
            <w:tcW w:w="82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90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w:t>
            </w:r>
          </w:p>
        </w:tc>
        <w:tc>
          <w:tcPr>
            <w:tcW w:w="196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一般行政管理事务（群众团体事务）</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 </w:t>
            </w:r>
          </w:p>
        </w:tc>
        <w:tc>
          <w:tcPr>
            <w:tcW w:w="1249" w:type="dxa"/>
            <w:tcBorders>
              <w:top w:val="single" w:color="000000" w:sz="4" w:space="0"/>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49" w:type="dxa"/>
            <w:tcBorders>
              <w:top w:val="single" w:color="000000" w:sz="4" w:space="0"/>
              <w:left w:val="nil"/>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26"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69"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 </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4" w:hRule="atLeast"/>
        </w:trPr>
        <w:tc>
          <w:tcPr>
            <w:tcW w:w="106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w:t>
            </w:r>
          </w:p>
        </w:tc>
        <w:tc>
          <w:tcPr>
            <w:tcW w:w="82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90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196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行政运行（组织事务）</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0.4 </w:t>
            </w:r>
          </w:p>
        </w:tc>
        <w:tc>
          <w:tcPr>
            <w:tcW w:w="124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0.4 </w:t>
            </w:r>
          </w:p>
        </w:tc>
        <w:tc>
          <w:tcPr>
            <w:tcW w:w="1249"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0.4 </w:t>
            </w:r>
          </w:p>
        </w:tc>
        <w:tc>
          <w:tcPr>
            <w:tcW w:w="1026"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69"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7" w:hRule="atLeast"/>
        </w:trPr>
        <w:tc>
          <w:tcPr>
            <w:tcW w:w="106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w:t>
            </w:r>
          </w:p>
        </w:tc>
        <w:tc>
          <w:tcPr>
            <w:tcW w:w="82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90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196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行政运行（宣传事务）</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87.4 </w:t>
            </w:r>
          </w:p>
        </w:tc>
        <w:tc>
          <w:tcPr>
            <w:tcW w:w="124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75.4 </w:t>
            </w:r>
          </w:p>
        </w:tc>
        <w:tc>
          <w:tcPr>
            <w:tcW w:w="1249"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68.5 </w:t>
            </w:r>
          </w:p>
        </w:tc>
        <w:tc>
          <w:tcPr>
            <w:tcW w:w="1026"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6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7.0 </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 </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 </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tbl>
      <w:tblPr>
        <w:tblStyle w:val="4"/>
        <w:tblW w:w="142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60"/>
        <w:gridCol w:w="900"/>
        <w:gridCol w:w="1440"/>
        <w:gridCol w:w="2790"/>
        <w:gridCol w:w="1125"/>
        <w:gridCol w:w="1035"/>
        <w:gridCol w:w="1383"/>
        <w:gridCol w:w="855"/>
        <w:gridCol w:w="720"/>
        <w:gridCol w:w="960"/>
        <w:gridCol w:w="981"/>
        <w:gridCol w:w="11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4265" w:type="dxa"/>
            <w:gridSpan w:val="1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4265"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2021年一般公共预算基本支出情况表（按经济分类)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部门名称:内乡县文学艺术界联合会</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部门预算经济分类</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类</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49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专户安排</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本级财力补助下级支出</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部门财政性资金结转</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提前下达转移支付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其中：财政拨款</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75.8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75.8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75.8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内乡县文学艺术界联合会机关</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75.8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75.8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75.8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基本工资</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在职人员经费</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32.1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32.1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32.1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津贴补贴</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在职人员经费</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7.5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7.5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7.5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津贴补贴</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精神文明奖</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3.7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3.7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3.7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津贴补贴</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公务通讯补助（行政）</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0.9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0.9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0.9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津贴补贴</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物业补助（行政）</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奖金</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目标考核奖（年度）</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3.9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3.9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3.9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奖金</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年终一次性奖金</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2.7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2.7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2.7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机关事业单位基本养老保险缴费</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养老保险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6.8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6.8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6.8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职工基本医疗保险缴费</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医疗保险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其他社会保障缴费</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医疗保险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0.1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0.1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0.1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其他社会保障缴费</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工伤保险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0.1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0.1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0.1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其他社会保障缴费</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女工生育保险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0.1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0.1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0.1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住房公积金</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4.8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4.8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4.8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邮电费</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其他公用经费</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0.2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0.2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0.2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差旅费</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在职人员公用经费</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0.8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0.8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0.8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公务接待费</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在职人员公用经费</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工会经费</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工会经费</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0.5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0.5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0.5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福利费</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福利费</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其他交通费用</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公务交通补贴</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退休费</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退休人员健康休养费</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0.4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0.4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0.4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退休费</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退休人员精神文明奖</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0.5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0.5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0.5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tbl>
      <w:tblPr>
        <w:tblStyle w:val="4"/>
        <w:tblW w:w="143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836"/>
        <w:gridCol w:w="585"/>
        <w:gridCol w:w="585"/>
        <w:gridCol w:w="780"/>
        <w:gridCol w:w="1290"/>
        <w:gridCol w:w="1055"/>
        <w:gridCol w:w="1305"/>
        <w:gridCol w:w="1066"/>
        <w:gridCol w:w="1066"/>
        <w:gridCol w:w="1066"/>
        <w:gridCol w:w="1305"/>
        <w:gridCol w:w="1066"/>
        <w:gridCol w:w="1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4310" w:type="dxa"/>
            <w:gridSpan w:val="13"/>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gridSpan w:val="1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2021年政府性基金支出情况表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gridSpan w:val="1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内乡县文学艺术界联合会</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单位代码</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单位（科目名称）</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行政人员经费</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事业人员经费</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公用经费</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一般性项目</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此表无数据、为空表</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tbl>
      <w:tblPr>
        <w:tblStyle w:val="4"/>
        <w:tblW w:w="1447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09"/>
        <w:gridCol w:w="605"/>
        <w:gridCol w:w="605"/>
        <w:gridCol w:w="1215"/>
        <w:gridCol w:w="938"/>
        <w:gridCol w:w="1353"/>
        <w:gridCol w:w="921"/>
        <w:gridCol w:w="921"/>
        <w:gridCol w:w="921"/>
        <w:gridCol w:w="1353"/>
        <w:gridCol w:w="931"/>
        <w:gridCol w:w="15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972" w:type="dxa"/>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本部门无国有资本经营预算支出数据</w:t>
            </w:r>
          </w:p>
        </w:tc>
        <w:tc>
          <w:tcPr>
            <w:tcW w:w="1507"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gridSpan w:val="1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2021年国有资本经营支出情况表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tcBorders>
              <w:top w:val="nil"/>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部门名称：内乡县文学艺术界联合会</w:t>
            </w:r>
          </w:p>
        </w:tc>
        <w:tc>
          <w:tcPr>
            <w:tcW w:w="0" w:type="auto"/>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单位（科目名称）</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总计</w:t>
            </w:r>
          </w:p>
        </w:tc>
        <w:tc>
          <w:tcPr>
            <w:tcW w:w="0" w:type="auto"/>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0" w:type="auto"/>
            <w:tcBorders>
              <w:top w:val="single" w:color="000000" w:sz="4" w:space="0"/>
              <w:left w:val="nil"/>
              <w:bottom w:val="single" w:color="000000" w:sz="4" w:space="0"/>
              <w:right w:val="nil"/>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0" w:type="auto"/>
            <w:tcBorders>
              <w:top w:val="single" w:color="000000" w:sz="4" w:space="0"/>
              <w:left w:val="nil"/>
              <w:bottom w:val="single" w:color="000000" w:sz="4" w:space="0"/>
              <w:right w:val="nil"/>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c>
          <w:tcPr>
            <w:tcW w:w="0" w:type="auto"/>
            <w:tcBorders>
              <w:top w:val="single" w:color="000000" w:sz="4" w:space="0"/>
              <w:left w:val="nil"/>
              <w:bottom w:val="single" w:color="000000" w:sz="4" w:space="0"/>
              <w:right w:val="nil"/>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行政人员经费</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事业人员经费</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公用经费</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一般性项目</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tbl>
      <w:tblPr>
        <w:tblStyle w:val="4"/>
        <w:tblW w:w="14060" w:type="dxa"/>
        <w:tblInd w:w="93" w:type="dxa"/>
        <w:tblLayout w:type="autofit"/>
        <w:tblCellMar>
          <w:top w:w="0" w:type="dxa"/>
          <w:left w:w="108" w:type="dxa"/>
          <w:bottom w:w="0" w:type="dxa"/>
          <w:right w:w="108" w:type="dxa"/>
        </w:tblCellMar>
      </w:tblPr>
      <w:tblGrid>
        <w:gridCol w:w="7940"/>
        <w:gridCol w:w="6120"/>
      </w:tblGrid>
      <w:tr>
        <w:tblPrEx>
          <w:tblCellMar>
            <w:top w:w="0" w:type="dxa"/>
            <w:left w:w="108" w:type="dxa"/>
            <w:bottom w:w="0" w:type="dxa"/>
            <w:right w:w="108" w:type="dxa"/>
          </w:tblCellMar>
        </w:tblPrEx>
        <w:trPr>
          <w:trHeight w:val="285" w:hRule="atLeast"/>
        </w:trPr>
        <w:tc>
          <w:tcPr>
            <w:tcW w:w="7940"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6120" w:type="dxa"/>
            <w:tcBorders>
              <w:top w:val="nil"/>
              <w:left w:val="nil"/>
              <w:bottom w:val="nil"/>
              <w:right w:val="nil"/>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预算09表</w:t>
            </w:r>
          </w:p>
        </w:tc>
      </w:tr>
      <w:tr>
        <w:tblPrEx>
          <w:tblCellMar>
            <w:top w:w="0" w:type="dxa"/>
            <w:left w:w="108" w:type="dxa"/>
            <w:bottom w:w="0" w:type="dxa"/>
            <w:right w:w="108" w:type="dxa"/>
          </w:tblCellMar>
        </w:tblPrEx>
        <w:trPr>
          <w:trHeight w:val="1020" w:hRule="atLeast"/>
        </w:trPr>
        <w:tc>
          <w:tcPr>
            <w:tcW w:w="14060" w:type="dxa"/>
            <w:gridSpan w:val="2"/>
            <w:tcBorders>
              <w:top w:val="nil"/>
              <w:left w:val="nil"/>
              <w:bottom w:val="nil"/>
              <w:right w:val="nil"/>
            </w:tcBorders>
            <w:shd w:val="clear" w:color="auto" w:fill="auto"/>
            <w:noWrap/>
            <w:vAlign w:val="center"/>
          </w:tcPr>
          <w:p>
            <w:pPr>
              <w:widowControl/>
              <w:jc w:val="center"/>
              <w:rPr>
                <w:rFonts w:ascii="宋体" w:hAnsi="宋体" w:cs="宋体"/>
                <w:b/>
                <w:bCs/>
                <w:kern w:val="0"/>
                <w:sz w:val="40"/>
                <w:szCs w:val="40"/>
              </w:rPr>
            </w:pPr>
            <w:r>
              <w:rPr>
                <w:rFonts w:hint="eastAsia" w:ascii="宋体" w:hAnsi="宋体" w:cs="宋体"/>
                <w:b/>
                <w:bCs/>
                <w:kern w:val="0"/>
                <w:sz w:val="40"/>
                <w:szCs w:val="40"/>
              </w:rPr>
              <w:t>2021年一般公共预算“三公”经费支出情况表</w:t>
            </w:r>
          </w:p>
        </w:tc>
      </w:tr>
      <w:tr>
        <w:tblPrEx>
          <w:tblCellMar>
            <w:top w:w="0" w:type="dxa"/>
            <w:left w:w="108" w:type="dxa"/>
            <w:bottom w:w="0" w:type="dxa"/>
            <w:right w:w="108" w:type="dxa"/>
          </w:tblCellMar>
        </w:tblPrEx>
        <w:trPr>
          <w:trHeight w:val="375" w:hRule="atLeast"/>
        </w:trPr>
        <w:tc>
          <w:tcPr>
            <w:tcW w:w="7940" w:type="dxa"/>
            <w:tcBorders>
              <w:top w:val="nil"/>
              <w:left w:val="nil"/>
              <w:bottom w:val="nil"/>
              <w:right w:val="nil"/>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部门名称:内乡县文学艺术界联合会</w:t>
            </w:r>
          </w:p>
        </w:tc>
        <w:tc>
          <w:tcPr>
            <w:tcW w:w="6120" w:type="dxa"/>
            <w:tcBorders>
              <w:top w:val="nil"/>
              <w:left w:val="nil"/>
              <w:bottom w:val="nil"/>
              <w:right w:val="nil"/>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单位：万元</w:t>
            </w:r>
          </w:p>
        </w:tc>
      </w:tr>
      <w:tr>
        <w:tblPrEx>
          <w:tblCellMar>
            <w:top w:w="0" w:type="dxa"/>
            <w:left w:w="108" w:type="dxa"/>
            <w:bottom w:w="0" w:type="dxa"/>
            <w:right w:w="108" w:type="dxa"/>
          </w:tblCellMar>
        </w:tblPrEx>
        <w:trPr>
          <w:trHeight w:val="600" w:hRule="atLeast"/>
        </w:trPr>
        <w:tc>
          <w:tcPr>
            <w:tcW w:w="79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      目</w:t>
            </w:r>
          </w:p>
        </w:tc>
        <w:tc>
          <w:tcPr>
            <w:tcW w:w="6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2021年“三公”经费预算数</w:t>
            </w:r>
          </w:p>
        </w:tc>
      </w:tr>
      <w:tr>
        <w:tblPrEx>
          <w:tblCellMar>
            <w:top w:w="0" w:type="dxa"/>
            <w:left w:w="108" w:type="dxa"/>
            <w:bottom w:w="0" w:type="dxa"/>
            <w:right w:w="108" w:type="dxa"/>
          </w:tblCellMar>
        </w:tblPrEx>
        <w:trPr>
          <w:trHeight w:val="600" w:hRule="atLeast"/>
        </w:trPr>
        <w:tc>
          <w:tcPr>
            <w:tcW w:w="7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共计</w:t>
            </w:r>
          </w:p>
        </w:tc>
        <w:tc>
          <w:tcPr>
            <w:tcW w:w="61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1.5 </w:t>
            </w:r>
          </w:p>
        </w:tc>
      </w:tr>
      <w:tr>
        <w:tblPrEx>
          <w:tblCellMar>
            <w:top w:w="0" w:type="dxa"/>
            <w:left w:w="108" w:type="dxa"/>
            <w:bottom w:w="0" w:type="dxa"/>
            <w:right w:w="108" w:type="dxa"/>
          </w:tblCellMar>
        </w:tblPrEx>
        <w:trPr>
          <w:trHeight w:val="600" w:hRule="atLeast"/>
        </w:trPr>
        <w:tc>
          <w:tcPr>
            <w:tcW w:w="79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1、因公出国（境）费用</w:t>
            </w:r>
          </w:p>
        </w:tc>
        <w:tc>
          <w:tcPr>
            <w:tcW w:w="61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00" w:hRule="atLeast"/>
        </w:trPr>
        <w:tc>
          <w:tcPr>
            <w:tcW w:w="79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2、公务接待费</w:t>
            </w:r>
          </w:p>
        </w:tc>
        <w:tc>
          <w:tcPr>
            <w:tcW w:w="61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1.5 </w:t>
            </w:r>
          </w:p>
        </w:tc>
      </w:tr>
      <w:tr>
        <w:tblPrEx>
          <w:tblCellMar>
            <w:top w:w="0" w:type="dxa"/>
            <w:left w:w="108" w:type="dxa"/>
            <w:bottom w:w="0" w:type="dxa"/>
            <w:right w:w="108" w:type="dxa"/>
          </w:tblCellMar>
        </w:tblPrEx>
        <w:trPr>
          <w:trHeight w:val="600" w:hRule="atLeast"/>
        </w:trPr>
        <w:tc>
          <w:tcPr>
            <w:tcW w:w="79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3、公务用车费</w:t>
            </w:r>
          </w:p>
        </w:tc>
        <w:tc>
          <w:tcPr>
            <w:tcW w:w="61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00" w:hRule="atLeast"/>
        </w:trPr>
        <w:tc>
          <w:tcPr>
            <w:tcW w:w="79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其中：（1）公务用车运行维护费</w:t>
            </w:r>
          </w:p>
        </w:tc>
        <w:tc>
          <w:tcPr>
            <w:tcW w:w="61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00" w:hRule="atLeast"/>
        </w:trPr>
        <w:tc>
          <w:tcPr>
            <w:tcW w:w="79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（2）公务用车购置</w:t>
            </w:r>
          </w:p>
        </w:tc>
        <w:tc>
          <w:tcPr>
            <w:tcW w:w="61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00" w:hRule="atLeast"/>
        </w:trPr>
        <w:tc>
          <w:tcPr>
            <w:tcW w:w="79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6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292" w:hRule="atLeast"/>
        </w:trPr>
        <w:tc>
          <w:tcPr>
            <w:tcW w:w="14060" w:type="dxa"/>
            <w:gridSpan w:val="2"/>
            <w:tcBorders>
              <w:top w:val="single" w:color="auto" w:sz="4" w:space="0"/>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注：按照党中央、国务院有关规定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及租用费、燃料费、维修费、过路过桥费、保险费、安全奖励费用等支出，公务用车指用于履行公务的机动车辆，包括领导干部专车、一般公务用车和执法执勤用车。（3）公务接待费，指单位按规定开支的各类公务接待（含外宾接待）支出。</w:t>
            </w:r>
          </w:p>
        </w:tc>
      </w:tr>
    </w:tbl>
    <w:p>
      <w:pPr>
        <w:widowControl/>
        <w:spacing w:line="400" w:lineRule="exact"/>
        <w:jc w:val="left"/>
        <w:rPr>
          <w:rFonts w:hint="eastAsia" w:ascii="黑体" w:hAnsi="仿宋_GB2312" w:eastAsia="黑体" w:cs="仿宋_GB2312"/>
          <w:kern w:val="0"/>
          <w:sz w:val="32"/>
          <w:szCs w:val="32"/>
        </w:rPr>
      </w:pPr>
    </w:p>
    <w:tbl>
      <w:tblPr>
        <w:tblStyle w:val="4"/>
        <w:tblW w:w="147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74"/>
        <w:gridCol w:w="1656"/>
        <w:gridCol w:w="2500"/>
        <w:gridCol w:w="1095"/>
        <w:gridCol w:w="8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2" w:hRule="atLeast"/>
        </w:trPr>
        <w:tc>
          <w:tcPr>
            <w:tcW w:w="14780" w:type="dxa"/>
            <w:gridSpan w:val="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附件1：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2" w:hRule="atLeast"/>
        </w:trPr>
        <w:tc>
          <w:tcPr>
            <w:tcW w:w="0" w:type="auto"/>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6"/>
                <w:szCs w:val="36"/>
                <w:u w:val="none"/>
              </w:rPr>
            </w:pPr>
            <w:r>
              <w:rPr>
                <w:rFonts w:hint="eastAsia" w:ascii="黑体" w:hAnsi="宋体" w:eastAsia="黑体" w:cs="黑体"/>
                <w:b/>
                <w:bCs/>
                <w:i w:val="0"/>
                <w:iCs w:val="0"/>
                <w:color w:val="000000"/>
                <w:kern w:val="0"/>
                <w:sz w:val="36"/>
                <w:szCs w:val="36"/>
                <w:u w:val="none"/>
                <w:lang w:val="en-US" w:eastAsia="zh-CN" w:bidi="ar"/>
              </w:rPr>
              <w:t>县级部门（单位）整体支出绩效目标申报表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1" w:hRule="atLeast"/>
        </w:trPr>
        <w:tc>
          <w:tcPr>
            <w:tcW w:w="0" w:type="auto"/>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6"/>
                <w:szCs w:val="36"/>
                <w:u w:val="none"/>
              </w:rPr>
            </w:pPr>
            <w:r>
              <w:rPr>
                <w:rFonts w:hint="eastAsia" w:ascii="黑体" w:hAnsi="宋体" w:eastAsia="黑体" w:cs="黑体"/>
                <w:b/>
                <w:bCs/>
                <w:i w:val="0"/>
                <w:iCs w:val="0"/>
                <w:color w:val="000000"/>
                <w:kern w:val="0"/>
                <w:sz w:val="36"/>
                <w:szCs w:val="36"/>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部门（单位）名称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内乡县文学艺术界联合会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trPr>
        <w:tc>
          <w:tcPr>
            <w:tcW w:w="1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年度履职目标</w:t>
            </w:r>
          </w:p>
        </w:tc>
        <w:tc>
          <w:tcPr>
            <w:tcW w:w="0" w:type="auto"/>
            <w:gridSpan w:val="4"/>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1.服务内乡文艺队伍，促进文艺作品创作；2.按照标准按时上交会费；3.深化文艺改革，稳定创作队伍。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gridSpan w:val="4"/>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gridSpan w:val="4"/>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gridSpan w:val="4"/>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9" w:hRule="atLeast"/>
        </w:trPr>
        <w:tc>
          <w:tcPr>
            <w:tcW w:w="1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年度主要任务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任务名称</w:t>
            </w:r>
          </w:p>
        </w:tc>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主要内容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9" w:hRule="atLeast"/>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任务1</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文学艺术创作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任务2</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中国书法之乡会费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任务3</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文联深化改革业务费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1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预算情况</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部门预算总额（万元）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1、资金来源：（1）财政资金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2、资金结构：（1）基本支出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（2）项目支出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8" w:hRule="atLeast"/>
        </w:trPr>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一级指标</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二级指标</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三级指标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指标值</w:t>
            </w:r>
          </w:p>
        </w:tc>
        <w:tc>
          <w:tcPr>
            <w:tcW w:w="8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指标说明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9" w:hRule="atLeast"/>
        </w:trPr>
        <w:tc>
          <w:tcPr>
            <w:tcW w:w="1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投入管理指标</w:t>
            </w:r>
          </w:p>
        </w:tc>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工作目标管理</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年度履职目标相关性</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相关</w:t>
            </w:r>
          </w:p>
        </w:tc>
        <w:tc>
          <w:tcPr>
            <w:tcW w:w="8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年度履职目标是否符合国家、省委省政府战略部署和发展规划，与国家、省宏观政策、行业政策一致；2．年度履职目标是否与部门职责、工作规划和重点工作相关；3．确定的预算项目是否合理，是否与工作目标密切相关；4．工作任务和项目预算安排是否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4" w:hRule="atLeast"/>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工作任务科学性</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科学</w:t>
            </w:r>
          </w:p>
        </w:tc>
        <w:tc>
          <w:tcPr>
            <w:tcW w:w="8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工作任务是否有明确的绩效目标，绩效目标是否与部门年度履职目标一致，是否能体现工作任务的产出和效果：2．工作任务对应的预算项目是否有明确的绩效目标，绩效目标是否与部门职责目标、工作任务目标一致，是否能体现预算项目的产出和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90" w:hRule="atLeast"/>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绩效指标合理性</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合理</w:t>
            </w:r>
          </w:p>
        </w:tc>
        <w:tc>
          <w:tcPr>
            <w:tcW w:w="8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工作任务、预算项目绩效指标设置是否准确反映部门绩效完成情况；2．工作任务化、预算项目绩效指标是否清晰、细可评价、可衡量；3．工作任务、预算项目绩效指标的评价标准是否清晰、可衡量；4．是否与部门年度的任务数或计划数相对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3" w:hRule="atLeast"/>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预算和财务管理</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预算编制完整性</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完整</w:t>
            </w:r>
          </w:p>
        </w:tc>
        <w:tc>
          <w:tcPr>
            <w:tcW w:w="8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1．部门所有收入是否全部纳入部门预算；2．部门支出预算是否统筹各类资金来源，全部纳入部门预算管理。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专项资金细化率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95%</w:t>
            </w:r>
          </w:p>
        </w:tc>
        <w:tc>
          <w:tcPr>
            <w:tcW w:w="8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专项资金细化率=（已细化到具体市县和承担单位的资金数／部门参与分配资金总数）×100。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5" w:hRule="atLeast"/>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95%</w:t>
            </w:r>
          </w:p>
        </w:tc>
        <w:tc>
          <w:tcPr>
            <w:tcW w:w="8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预算执行率=（预算完成数／预算数）×100%。预算完成数指部门实际执行的预算数；预算数指财政部门批复的本年度部门的（调整）预算数。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1" w:hRule="atLeast"/>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预算调整率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≤5%</w:t>
            </w:r>
          </w:p>
        </w:tc>
        <w:tc>
          <w:tcPr>
            <w:tcW w:w="8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调整率=（预算调整数一年初预算数）／年初预算数×lOO%。预算调整数：部门在本年度内涉及预算的追加、追减或结构调整的资金总和（因落实国家政策、发生不可抗力、上级部门或本级党委政府临时交办而产生的调整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4" w:hRule="atLeast"/>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结转结余变动率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≤5%</w:t>
            </w:r>
          </w:p>
        </w:tc>
        <w:tc>
          <w:tcPr>
            <w:tcW w:w="8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结转结余率=结转结余总额／预算数*100%。结转结余总额是指部门本年度的结转结余资金之和。预算数是指财政部门批复的本年度部门的（调整）预算数。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4" w:hRule="atLeast"/>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“三公经费”控制率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100%</w:t>
            </w:r>
          </w:p>
        </w:tc>
        <w:tc>
          <w:tcPr>
            <w:tcW w:w="8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“三公经费”控制率=本年度“三公经费”实际支出数／“三公经费”预算数*100%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2" w:hRule="atLeast"/>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政府采购执行率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0</w:t>
            </w:r>
          </w:p>
        </w:tc>
        <w:tc>
          <w:tcPr>
            <w:tcW w:w="8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政府采购执行率=（实际政府采购金额／政府采购预算数）×lOO%。政府采购预算：采购机关根据事业发展计划和行政任务编制的、并经过规定程序批准的年度政府采购计划。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2" w:hRule="atLeast"/>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决算真实性</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真实</w:t>
            </w:r>
          </w:p>
        </w:tc>
        <w:tc>
          <w:tcPr>
            <w:tcW w:w="8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反映本部门决算工作情况。决算编制数据是否账表一致，即决算报表数据与会计账簿数据是否一致。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99" w:hRule="atLeast"/>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资金使用合规性</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合规</w:t>
            </w:r>
          </w:p>
        </w:tc>
        <w:tc>
          <w:tcPr>
            <w:tcW w:w="8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单位）是否按照相关法律法规以及资金管理办法规定的用途使用预算资金，用以反映和考核部门（单位）预算资金的规范运行情况。1．是否符合国家财经法规和财务管理制度规定以及有关专项资金管理办法的规定；2．资金的拨付是否有完整的审批程序和手续；3．项目的重大开支是否经过评估论证；4．是否符合部门预算批复的用途；5．是否存在截留支出情况；6．是否存在挤占支出情况；7．是否存在挪用支出情况；8．是否存在虚列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7" w:hRule="atLeast"/>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管理制度健全性</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健全</w:t>
            </w:r>
          </w:p>
        </w:tc>
        <w:tc>
          <w:tcPr>
            <w:tcW w:w="8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单位）为加强预算管理，规范财务行为而制定的管理制度是否健全完整，用以反映和考核部门（单位）预算管理制度为完成主要职责或促成事业发展的保障情况。1．是否已制定或具有预算资金管理办法、内部管理制度、会计核算制度、会计岗位制度等管理制度；2．相关管理制度是否得到有效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0" w:hRule="atLeast"/>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预算决算信息公开性</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公开</w:t>
            </w:r>
          </w:p>
        </w:tc>
        <w:tc>
          <w:tcPr>
            <w:tcW w:w="8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单位）是否按照政府信息公开有关规定公开部门预算、执行、决算、监督、绩效等相关预决算信息，用以反映和考核部门（单位）预决算管理的公开透明情况。1．是否按规定内容公开预决算信息；2．是否按规定时限公开预决算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1" w:hRule="atLeast"/>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资产管理规范性</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规范</w:t>
            </w:r>
          </w:p>
        </w:tc>
        <w:tc>
          <w:tcPr>
            <w:tcW w:w="8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单位）的资产配置、使用是否合规，处置是否规范，收入是否及时足额上缴，用以反映和考核部门（单位）资产管理的规范程度。1．资产是否及时规范入账，资产报表数据与会计账簿数据是否相符，资产实物与财务账、资产账是否相符；2．新增资产是否符合规定程序和规定标准，新增资产是否考虑闲置存量资产：3．资产对外有偿使用（出租出借等）、对外投资、担保、资产处置等事项是否按规定报批；4．资产收益是否及时足额上交财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8" w:hRule="atLeast"/>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绩效管理</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绩效监控完成率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100%</w:t>
            </w:r>
          </w:p>
        </w:tc>
        <w:tc>
          <w:tcPr>
            <w:tcW w:w="8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部门（单位）按要求实施绩效监控的项目数量占应实施绩效监控项目总数的比重。部门绩效监控完成率=已完成绩效监控项目数量／部门项目总数*100%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9" w:hRule="atLeast"/>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绩效自评完成率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100%</w:t>
            </w:r>
          </w:p>
        </w:tc>
        <w:tc>
          <w:tcPr>
            <w:tcW w:w="8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部门单位按要求实施绩效自评的项目数量占应实施绩效自评项目总数的比重。部门绩效自评完成率=已完成评价项目数量／部门项目总数*100%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8" w:hRule="atLeast"/>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部门绩效评价完成率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100%</w:t>
            </w:r>
          </w:p>
        </w:tc>
        <w:tc>
          <w:tcPr>
            <w:tcW w:w="8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部门重点绩效评价项目评价完成情况．部门绩效评价完成率=已完成评价项目数量／部门重点绩效评价项目数*100%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5" w:hRule="atLeast"/>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评价结果应用率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100%</w:t>
            </w:r>
          </w:p>
        </w:tc>
        <w:tc>
          <w:tcPr>
            <w:tcW w:w="8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绩效监控、单位自评、部门绩效评价、财政重点绩效评价结果应用情况。                                                               评价结果应用率=评价提出的意见建议采纳数／提出的意见建议总数*lOO%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1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履职目标实现</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重点接待任务完成率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81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7" w:hRule="atLeast"/>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任务1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100%</w:t>
            </w:r>
          </w:p>
        </w:tc>
        <w:tc>
          <w:tcPr>
            <w:tcW w:w="8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文学艺术创作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7" w:hRule="atLeast"/>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任务2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100%</w:t>
            </w:r>
          </w:p>
        </w:tc>
        <w:tc>
          <w:tcPr>
            <w:tcW w:w="8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中国书法之乡会费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7" w:hRule="atLeast"/>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任务3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100%</w:t>
            </w:r>
          </w:p>
        </w:tc>
        <w:tc>
          <w:tcPr>
            <w:tcW w:w="8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文联深化改革业务费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81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7" w:hRule="atLeast"/>
        </w:trPr>
        <w:tc>
          <w:tcPr>
            <w:tcW w:w="1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履职效益</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促进内乡形象提升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提升</w:t>
            </w:r>
          </w:p>
        </w:tc>
        <w:tc>
          <w:tcPr>
            <w:tcW w:w="81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2" w:hRule="atLeast"/>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8"/>
                <w:lang w:val="en-US" w:eastAsia="zh-CN" w:bidi="ar"/>
              </w:rPr>
              <w:t>≥90</w:t>
            </w:r>
            <w:r>
              <w:rPr>
                <w:rStyle w:val="9"/>
                <w:rFonts w:ascii="宋体" w:hAnsi="宋体" w:eastAsia="宋体" w:cs="宋体"/>
                <w:sz w:val="24"/>
                <w:szCs w:val="24"/>
                <w:lang w:val="en-US" w:eastAsia="zh-CN" w:bidi="ar"/>
              </w:rPr>
              <w:t>％</w:t>
            </w:r>
          </w:p>
        </w:tc>
        <w:tc>
          <w:tcPr>
            <w:tcW w:w="81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tbl>
      <w:tblPr>
        <w:tblStyle w:val="4"/>
        <w:tblW w:w="147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35"/>
        <w:gridCol w:w="735"/>
        <w:gridCol w:w="1485"/>
        <w:gridCol w:w="2925"/>
        <w:gridCol w:w="2355"/>
        <w:gridCol w:w="1485"/>
        <w:gridCol w:w="1515"/>
        <w:gridCol w:w="3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73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黑体" w:hAnsi="宋体" w:eastAsia="黑体" w:cs="黑体"/>
                <w:i w:val="0"/>
                <w:iCs w:val="0"/>
                <w:color w:val="000000"/>
                <w:sz w:val="24"/>
                <w:szCs w:val="24"/>
                <w:u w:val="none"/>
                <w:lang w:val="en-US" w:eastAsia="zh-CN"/>
              </w:rPr>
            </w:pPr>
            <w:r>
              <w:rPr>
                <w:rFonts w:hint="eastAsia" w:ascii="黑体" w:hAnsi="宋体" w:eastAsia="黑体" w:cs="黑体"/>
                <w:i w:val="0"/>
                <w:iCs w:val="0"/>
                <w:color w:val="000000"/>
                <w:sz w:val="24"/>
                <w:szCs w:val="24"/>
                <w:u w:val="none"/>
                <w:lang w:val="en-US" w:eastAsia="zh-CN"/>
              </w:rPr>
              <w:t>附件2</w:t>
            </w:r>
          </w:p>
        </w:tc>
        <w:tc>
          <w:tcPr>
            <w:tcW w:w="735" w:type="dxa"/>
            <w:tcBorders>
              <w:top w:val="nil"/>
              <w:left w:val="nil"/>
              <w:bottom w:val="nil"/>
              <w:right w:val="nil"/>
            </w:tcBorders>
            <w:shd w:val="clear" w:color="auto" w:fill="auto"/>
            <w:noWrap/>
            <w:vAlign w:val="center"/>
          </w:tcPr>
          <w:p>
            <w:pPr>
              <w:rPr>
                <w:rFonts w:hint="eastAsia" w:ascii="黑体" w:hAnsi="宋体" w:eastAsia="黑体" w:cs="黑体"/>
                <w:i w:val="0"/>
                <w:iCs w:val="0"/>
                <w:color w:val="000000"/>
                <w:sz w:val="24"/>
                <w:szCs w:val="24"/>
                <w:u w:val="none"/>
              </w:rPr>
            </w:pPr>
          </w:p>
        </w:tc>
        <w:tc>
          <w:tcPr>
            <w:tcW w:w="1485" w:type="dxa"/>
            <w:tcBorders>
              <w:top w:val="nil"/>
              <w:left w:val="nil"/>
              <w:bottom w:val="nil"/>
              <w:right w:val="nil"/>
            </w:tcBorders>
            <w:shd w:val="clear" w:color="auto" w:fill="auto"/>
            <w:vAlign w:val="center"/>
          </w:tcPr>
          <w:p>
            <w:pPr>
              <w:rPr>
                <w:rFonts w:hint="eastAsia" w:ascii="黑体" w:hAnsi="宋体" w:eastAsia="黑体" w:cs="黑体"/>
                <w:i w:val="0"/>
                <w:iCs w:val="0"/>
                <w:color w:val="000000"/>
                <w:sz w:val="24"/>
                <w:szCs w:val="24"/>
                <w:u w:val="none"/>
              </w:rPr>
            </w:pPr>
          </w:p>
        </w:tc>
        <w:tc>
          <w:tcPr>
            <w:tcW w:w="2925" w:type="dxa"/>
            <w:tcBorders>
              <w:top w:val="nil"/>
              <w:left w:val="nil"/>
              <w:bottom w:val="nil"/>
              <w:right w:val="nil"/>
            </w:tcBorders>
            <w:shd w:val="clear" w:color="auto" w:fill="auto"/>
            <w:vAlign w:val="center"/>
          </w:tcPr>
          <w:p>
            <w:pPr>
              <w:rPr>
                <w:rFonts w:hint="eastAsia" w:ascii="黑体" w:hAnsi="宋体" w:eastAsia="黑体" w:cs="黑体"/>
                <w:i w:val="0"/>
                <w:iCs w:val="0"/>
                <w:color w:val="000000"/>
                <w:sz w:val="24"/>
                <w:szCs w:val="24"/>
                <w:u w:val="none"/>
              </w:rPr>
            </w:pPr>
          </w:p>
        </w:tc>
        <w:tc>
          <w:tcPr>
            <w:tcW w:w="235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148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1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351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4745"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县级部门预算项目支出绩效目标申报表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4745"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Style w:val="10"/>
                <w:rFonts w:eastAsia="宋体"/>
                <w:lang w:val="en-US" w:eastAsia="zh-CN" w:bidi="ar"/>
              </w:rPr>
              <w:t xml:space="preserve">      2021    </w:t>
            </w:r>
            <w:r>
              <w:rPr>
                <w:rStyle w:val="11"/>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0" w:type="auto"/>
            <w:gridSpan w:val="8"/>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9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117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文联深化改革业务费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955"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主管部门</w:t>
            </w:r>
          </w:p>
        </w:tc>
        <w:tc>
          <w:tcPr>
            <w:tcW w:w="5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内乡县文学艺术界联合会</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单位名称</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内乡县文学艺术界联合会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295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项目资金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（万元）</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实施期资金总额：</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3000" w:type="dxa"/>
            <w:gridSpan w:val="2"/>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年度资金总额：</w:t>
            </w:r>
          </w:p>
        </w:tc>
        <w:tc>
          <w:tcPr>
            <w:tcW w:w="3510" w:type="dxa"/>
            <w:tcBorders>
              <w:top w:val="single" w:color="000000" w:sz="4" w:space="0"/>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95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其中：财政拨款</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000" w:type="dxa"/>
            <w:gridSpan w:val="2"/>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其中：财政拨款</w:t>
            </w:r>
          </w:p>
        </w:tc>
        <w:tc>
          <w:tcPr>
            <w:tcW w:w="3510" w:type="dxa"/>
            <w:tcBorders>
              <w:top w:val="single" w:color="000000" w:sz="4" w:space="0"/>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95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rStyle w:val="11"/>
                <w:lang w:val="en-US" w:eastAsia="zh-CN" w:bidi="ar"/>
              </w:rPr>
              <w:t xml:space="preserve">       其他资金</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3000" w:type="dxa"/>
            <w:gridSpan w:val="2"/>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rStyle w:val="11"/>
                <w:lang w:val="en-US" w:eastAsia="zh-CN" w:bidi="ar"/>
              </w:rPr>
              <w:t xml:space="preserve"> 其他资金</w:t>
            </w:r>
          </w:p>
        </w:tc>
        <w:tc>
          <w:tcPr>
            <w:tcW w:w="3510" w:type="dxa"/>
            <w:tcBorders>
              <w:top w:val="single" w:color="000000" w:sz="4" w:space="0"/>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w:t>
            </w:r>
          </w:p>
        </w:tc>
        <w:tc>
          <w:tcPr>
            <w:tcW w:w="75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实施期目标</w:t>
            </w:r>
          </w:p>
        </w:tc>
        <w:tc>
          <w:tcPr>
            <w:tcW w:w="65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9"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50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深化文艺改革，稳定创作队伍</w:t>
            </w:r>
          </w:p>
        </w:tc>
        <w:tc>
          <w:tcPr>
            <w:tcW w:w="651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深化文艺改革，稳定创作队伍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指标值</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15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参加人数</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474</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参加人数</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活动次数</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活动次数</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上级领导参与次数</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上级领导参与次数</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区域覆盖率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区域覆盖率</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活动组织率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活动组织率</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群众评价</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群众评价</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活动时效性</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及时</w:t>
            </w:r>
          </w:p>
        </w:tc>
        <w:tc>
          <w:tcPr>
            <w:tcW w:w="148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活动时效性</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活动总成本</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48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活动总成本</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宣传册页</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48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宣传册页</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经济效益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经济效益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提升文艺队伍形象</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提升</w:t>
            </w:r>
          </w:p>
        </w:tc>
        <w:tc>
          <w:tcPr>
            <w:tcW w:w="148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提升文艺队伍形象</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生态效益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生态效益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可持续影响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文娱活动增加</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48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可持续影响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文娱活动增加</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服务对象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满意度指标</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群众满意度</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r>
              <w:rPr>
                <w:rFonts w:ascii="宋体" w:hAnsi="宋体" w:eastAsia="宋体" w:cs="宋体"/>
                <w:i w:val="0"/>
                <w:iCs w:val="0"/>
                <w:color w:val="000000"/>
                <w:kern w:val="0"/>
                <w:sz w:val="24"/>
                <w:szCs w:val="24"/>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服务对象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满意度指标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群众满意度</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r>
              <w:rPr>
                <w:rFonts w:ascii="宋体" w:hAnsi="宋体" w:eastAsia="宋体" w:cs="宋体"/>
                <w:i w:val="0"/>
                <w:iCs w:val="0"/>
                <w:color w:val="000000"/>
                <w:kern w:val="0"/>
                <w:sz w:val="24"/>
                <w:szCs w:val="24"/>
                <w:u w:val="none"/>
                <w:lang w:val="en-US" w:eastAsia="zh-CN" w:bidi="ar"/>
              </w:rPr>
              <w:t>％</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tbl>
      <w:tblPr>
        <w:tblStyle w:val="4"/>
        <w:tblW w:w="147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35"/>
        <w:gridCol w:w="735"/>
        <w:gridCol w:w="1485"/>
        <w:gridCol w:w="2925"/>
        <w:gridCol w:w="2355"/>
        <w:gridCol w:w="1485"/>
        <w:gridCol w:w="1515"/>
        <w:gridCol w:w="3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470"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黑体" w:hAnsi="宋体" w:eastAsia="黑体" w:cs="黑体"/>
                <w:i w:val="0"/>
                <w:iCs w:val="0"/>
                <w:color w:val="000000"/>
                <w:sz w:val="24"/>
                <w:szCs w:val="24"/>
                <w:u w:val="none"/>
                <w:lang w:val="en-US"/>
              </w:rPr>
            </w:pPr>
            <w:r>
              <w:rPr>
                <w:rFonts w:hint="eastAsia" w:ascii="黑体" w:hAnsi="宋体" w:eastAsia="黑体" w:cs="黑体"/>
                <w:i w:val="0"/>
                <w:iCs w:val="0"/>
                <w:color w:val="000000"/>
                <w:kern w:val="0"/>
                <w:sz w:val="24"/>
                <w:szCs w:val="24"/>
                <w:u w:val="none"/>
                <w:lang w:val="en-US" w:eastAsia="zh-CN" w:bidi="ar"/>
              </w:rPr>
              <w:t>附件3</w:t>
            </w:r>
          </w:p>
        </w:tc>
        <w:tc>
          <w:tcPr>
            <w:tcW w:w="1485" w:type="dxa"/>
            <w:tcBorders>
              <w:top w:val="nil"/>
              <w:left w:val="nil"/>
              <w:bottom w:val="nil"/>
              <w:right w:val="nil"/>
            </w:tcBorders>
            <w:shd w:val="clear" w:color="auto" w:fill="auto"/>
            <w:vAlign w:val="center"/>
          </w:tcPr>
          <w:p>
            <w:pPr>
              <w:rPr>
                <w:rFonts w:hint="eastAsia" w:ascii="黑体" w:hAnsi="宋体" w:eastAsia="黑体" w:cs="黑体"/>
                <w:i w:val="0"/>
                <w:iCs w:val="0"/>
                <w:color w:val="000000"/>
                <w:sz w:val="24"/>
                <w:szCs w:val="24"/>
                <w:u w:val="none"/>
              </w:rPr>
            </w:pPr>
          </w:p>
        </w:tc>
        <w:tc>
          <w:tcPr>
            <w:tcW w:w="2925" w:type="dxa"/>
            <w:tcBorders>
              <w:top w:val="nil"/>
              <w:left w:val="nil"/>
              <w:bottom w:val="nil"/>
              <w:right w:val="nil"/>
            </w:tcBorders>
            <w:shd w:val="clear" w:color="auto" w:fill="auto"/>
            <w:vAlign w:val="center"/>
          </w:tcPr>
          <w:p>
            <w:pPr>
              <w:rPr>
                <w:rFonts w:hint="eastAsia" w:ascii="黑体" w:hAnsi="宋体" w:eastAsia="黑体" w:cs="黑体"/>
                <w:i w:val="0"/>
                <w:iCs w:val="0"/>
                <w:color w:val="000000"/>
                <w:sz w:val="24"/>
                <w:szCs w:val="24"/>
                <w:u w:val="none"/>
              </w:rPr>
            </w:pPr>
          </w:p>
        </w:tc>
        <w:tc>
          <w:tcPr>
            <w:tcW w:w="235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148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1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351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4745"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县级部门预算项目支出绩效目标申报表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4745"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 xml:space="preserve">      2021    </w:t>
            </w:r>
            <w:r>
              <w:rPr>
                <w:rFonts w:hint="eastAsia" w:ascii="宋体" w:hAnsi="宋体" w:eastAsia="宋体" w:cs="宋体"/>
                <w:i w:val="0"/>
                <w:iCs w:val="0"/>
                <w:color w:val="000000"/>
                <w:kern w:val="0"/>
                <w:sz w:val="24"/>
                <w:szCs w:val="24"/>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0" w:type="auto"/>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735"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148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292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235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148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15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351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2955"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117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中国书法之乡会费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955"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主管部门</w:t>
            </w:r>
          </w:p>
        </w:tc>
        <w:tc>
          <w:tcPr>
            <w:tcW w:w="5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内乡县文学艺术界联合会</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单位名称</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内乡县文学艺术界联合会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95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项目资金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（万元）</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实施期资金总额：</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3000" w:type="dxa"/>
            <w:gridSpan w:val="2"/>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年度资金总额：</w:t>
            </w:r>
          </w:p>
        </w:tc>
        <w:tc>
          <w:tcPr>
            <w:tcW w:w="3510" w:type="dxa"/>
            <w:tcBorders>
              <w:top w:val="single" w:color="000000" w:sz="4" w:space="0"/>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95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其中：财政拨款</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000" w:type="dxa"/>
            <w:gridSpan w:val="2"/>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其中：财政拨款</w:t>
            </w:r>
          </w:p>
        </w:tc>
        <w:tc>
          <w:tcPr>
            <w:tcW w:w="35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95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其他资金</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3000" w:type="dxa"/>
            <w:gridSpan w:val="2"/>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其他资金</w:t>
            </w:r>
          </w:p>
        </w:tc>
        <w:tc>
          <w:tcPr>
            <w:tcW w:w="3510" w:type="dxa"/>
            <w:tcBorders>
              <w:top w:val="single" w:color="000000" w:sz="4" w:space="0"/>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w:t>
            </w:r>
          </w:p>
        </w:tc>
        <w:tc>
          <w:tcPr>
            <w:tcW w:w="75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实施期目标</w:t>
            </w:r>
          </w:p>
        </w:tc>
        <w:tc>
          <w:tcPr>
            <w:tcW w:w="65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9"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50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按照标准按时上交会费</w:t>
            </w:r>
          </w:p>
        </w:tc>
        <w:tc>
          <w:tcPr>
            <w:tcW w:w="651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按照标准按时上交会费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指标值</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15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中国书法之乡会费</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1项</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中国书法之乡会费</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统一标准</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合规</w:t>
            </w:r>
          </w:p>
        </w:tc>
        <w:tc>
          <w:tcPr>
            <w:tcW w:w="148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统一标准</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活动时效性</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及时上交</w:t>
            </w:r>
          </w:p>
        </w:tc>
        <w:tc>
          <w:tcPr>
            <w:tcW w:w="148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活动时效性</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及时上交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中国书法之乡会费</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1万</w:t>
            </w:r>
          </w:p>
        </w:tc>
        <w:tc>
          <w:tcPr>
            <w:tcW w:w="148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中国书法之乡会费</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经济效益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经济效益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促进文艺水平提高</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提升</w:t>
            </w:r>
          </w:p>
        </w:tc>
        <w:tc>
          <w:tcPr>
            <w:tcW w:w="148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促进文艺水平提高</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生态效益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生态效益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可持续影响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可持续影响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服务对象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满意度指标</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群众满意度</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r>
              <w:rPr>
                <w:rFonts w:ascii="宋体" w:hAnsi="宋体" w:eastAsia="宋体" w:cs="宋体"/>
                <w:i w:val="0"/>
                <w:iCs w:val="0"/>
                <w:color w:val="000000"/>
                <w:kern w:val="0"/>
                <w:sz w:val="24"/>
                <w:szCs w:val="24"/>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服务对象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满意度指标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群众满意度</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r>
              <w:rPr>
                <w:rFonts w:ascii="宋体" w:hAnsi="宋体" w:eastAsia="宋体" w:cs="宋体"/>
                <w:i w:val="0"/>
                <w:iCs w:val="0"/>
                <w:color w:val="000000"/>
                <w:kern w:val="0"/>
                <w:sz w:val="24"/>
                <w:szCs w:val="24"/>
                <w:u w:val="none"/>
                <w:lang w:val="en-US" w:eastAsia="zh-CN" w:bidi="ar"/>
              </w:rPr>
              <w:t>％</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tbl>
      <w:tblPr>
        <w:tblStyle w:val="4"/>
        <w:tblW w:w="147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35"/>
        <w:gridCol w:w="735"/>
        <w:gridCol w:w="1485"/>
        <w:gridCol w:w="2925"/>
        <w:gridCol w:w="2355"/>
        <w:gridCol w:w="1485"/>
        <w:gridCol w:w="1515"/>
        <w:gridCol w:w="3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4745" w:type="dxa"/>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黑体" w:hAnsi="宋体" w:eastAsia="黑体" w:cs="黑体"/>
                <w:i w:val="0"/>
                <w:iCs w:val="0"/>
                <w:color w:val="000000"/>
                <w:sz w:val="24"/>
                <w:szCs w:val="24"/>
                <w:u w:val="none"/>
                <w:lang w:val="en-US"/>
              </w:rPr>
            </w:pPr>
            <w:r>
              <w:rPr>
                <w:rFonts w:hint="eastAsia" w:ascii="黑体" w:hAnsi="宋体" w:eastAsia="黑体" w:cs="黑体"/>
                <w:i w:val="0"/>
                <w:iCs w:val="0"/>
                <w:color w:val="000000"/>
                <w:kern w:val="0"/>
                <w:sz w:val="24"/>
                <w:szCs w:val="24"/>
                <w:u w:val="none"/>
                <w:lang w:val="en-US" w:eastAsia="zh-CN" w:bidi="ar"/>
              </w:rPr>
              <w:t>附件4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4745"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县级部门预算项目支出绩效目标申报表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4745"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bookmarkStart w:id="1" w:name="_GoBack"/>
            <w:bookmarkEnd w:id="1"/>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 xml:space="preserve">      2021    </w:t>
            </w:r>
            <w:r>
              <w:rPr>
                <w:rFonts w:hint="eastAsia" w:ascii="宋体" w:hAnsi="宋体" w:eastAsia="宋体" w:cs="宋体"/>
                <w:i w:val="0"/>
                <w:iCs w:val="0"/>
                <w:color w:val="000000"/>
                <w:kern w:val="0"/>
                <w:sz w:val="24"/>
                <w:szCs w:val="24"/>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0" w:type="auto"/>
            <w:gridSpan w:val="8"/>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9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117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文学艺术创作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2955"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主管部门</w:t>
            </w:r>
          </w:p>
        </w:tc>
        <w:tc>
          <w:tcPr>
            <w:tcW w:w="5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内乡县文学艺术界联合会</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单位名称</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内乡县文学艺术界联合会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95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项目资金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（万元）</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实施期资金总额：</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3000" w:type="dxa"/>
            <w:gridSpan w:val="2"/>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年度资金总额：</w:t>
            </w:r>
          </w:p>
        </w:tc>
        <w:tc>
          <w:tcPr>
            <w:tcW w:w="3510" w:type="dxa"/>
            <w:tcBorders>
              <w:top w:val="single" w:color="000000" w:sz="4" w:space="0"/>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95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其中：财政拨款</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3000" w:type="dxa"/>
            <w:gridSpan w:val="2"/>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其中：财政拨款</w:t>
            </w:r>
          </w:p>
        </w:tc>
        <w:tc>
          <w:tcPr>
            <w:tcW w:w="35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95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其他资金</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3000" w:type="dxa"/>
            <w:gridSpan w:val="2"/>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其他资金</w:t>
            </w:r>
          </w:p>
        </w:tc>
        <w:tc>
          <w:tcPr>
            <w:tcW w:w="3510" w:type="dxa"/>
            <w:tcBorders>
              <w:top w:val="single" w:color="000000" w:sz="4" w:space="0"/>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w:t>
            </w:r>
          </w:p>
        </w:tc>
        <w:tc>
          <w:tcPr>
            <w:tcW w:w="75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实施期目标</w:t>
            </w:r>
          </w:p>
        </w:tc>
        <w:tc>
          <w:tcPr>
            <w:tcW w:w="65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9"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50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服务内乡文艺队伍，促进文艺作品创作</w:t>
            </w:r>
          </w:p>
        </w:tc>
        <w:tc>
          <w:tcPr>
            <w:tcW w:w="651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服务内乡文艺队伍，促进文艺作品创作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指标值</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15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参加人数</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474</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参加人数</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活动次数</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活动次数</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上级领导参与次数</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上级领导参与次数</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区域覆盖率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区域覆盖率</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活动组织率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活动组织率</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群众评价</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群众评价</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活动时效性</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及时</w:t>
            </w:r>
          </w:p>
        </w:tc>
        <w:tc>
          <w:tcPr>
            <w:tcW w:w="148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活动时效性</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活动总成本</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48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活动总成本</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宣传册页</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48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宣传册页</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经济效益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经济效益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提升文艺队伍形象</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提升</w:t>
            </w:r>
          </w:p>
        </w:tc>
        <w:tc>
          <w:tcPr>
            <w:tcW w:w="148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提升文艺队伍形象</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生态效益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生态效益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可持续影响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文娱活动增加</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48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可持续影响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文娱活动增加</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服务对象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满意度指标</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群众满意度</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r>
              <w:rPr>
                <w:rFonts w:ascii="宋体" w:hAnsi="宋体" w:eastAsia="宋体" w:cs="宋体"/>
                <w:i w:val="0"/>
                <w:iCs w:val="0"/>
                <w:color w:val="000000"/>
                <w:kern w:val="0"/>
                <w:sz w:val="24"/>
                <w:szCs w:val="24"/>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服务对象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满意度指标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群众满意度</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r>
              <w:rPr>
                <w:rFonts w:ascii="宋体" w:hAnsi="宋体" w:eastAsia="宋体" w:cs="宋体"/>
                <w:i w:val="0"/>
                <w:iCs w:val="0"/>
                <w:color w:val="000000"/>
                <w:kern w:val="0"/>
                <w:sz w:val="24"/>
                <w:szCs w:val="24"/>
                <w:u w:val="none"/>
                <w:lang w:val="en-US" w:eastAsia="zh-CN" w:bidi="ar"/>
              </w:rPr>
              <w:t>％</w:t>
            </w:r>
          </w:p>
        </w:tc>
      </w:tr>
    </w:tbl>
    <w:p>
      <w:pPr>
        <w:rPr>
          <w:rFonts w:ascii="仿宋_GB2312" w:hAnsi="仿宋_GB2312" w:eastAsia="仿宋_GB2312" w:cs="仿宋_GB2312"/>
          <w:sz w:val="32"/>
          <w:szCs w:val="32"/>
        </w:rPr>
      </w:pPr>
    </w:p>
    <w:sectPr>
      <w:pgSz w:w="16838" w:h="11906" w:orient="landscape"/>
      <w:pgMar w:top="850" w:right="1440" w:bottom="1417" w:left="45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26390" cy="29464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326390" cy="294640"/>
                      </a:xfrm>
                      <a:prstGeom prst="rect">
                        <a:avLst/>
                      </a:prstGeom>
                      <a:noFill/>
                      <a:ln>
                        <a:noFill/>
                      </a:ln>
                    </wps:spPr>
                    <wps:txbx>
                      <w:txbxContent>
                        <w:p>
                          <w:pPr>
                            <w:pStyle w:val="2"/>
                          </w:pPr>
                          <w:r>
                            <w:t xml:space="preserve">— </w:t>
                          </w:r>
                          <w:r>
                            <w:rPr>
                              <w:sz w:val="20"/>
                              <w:szCs w:val="28"/>
                            </w:rPr>
                            <w:fldChar w:fldCharType="begin"/>
                          </w:r>
                          <w:r>
                            <w:rPr>
                              <w:sz w:val="20"/>
                              <w:szCs w:val="28"/>
                            </w:rPr>
                            <w:instrText xml:space="preserve"> PAGE  \* MERGEFORMAT </w:instrText>
                          </w:r>
                          <w:r>
                            <w:rPr>
                              <w:sz w:val="20"/>
                              <w:szCs w:val="28"/>
                            </w:rPr>
                            <w:fldChar w:fldCharType="separate"/>
                          </w:r>
                          <w:r>
                            <w:rPr>
                              <w:sz w:val="20"/>
                              <w:szCs w:val="28"/>
                            </w:rPr>
                            <w:t>15</w:t>
                          </w:r>
                          <w:r>
                            <w:rPr>
                              <w:sz w:val="20"/>
                              <w:szCs w:val="28"/>
                            </w:rPr>
                            <w:fldChar w:fldCharType="end"/>
                          </w:r>
                          <w:r>
                            <w:t>—</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23.2pt;width:25.7pt;mso-position-horizontal:center;mso-position-horizontal-relative:margin;mso-wrap-style:none;z-index:251659264;mso-width-relative:page;mso-height-relative:page;" filled="f" stroked="f" coordsize="21600,21600" o:gfxdata="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Z/I/M0QAAAAMBAAAPAAAAAAAAAAEAIAAAACIAAABkcnMv&#10;ZG93bnJldi54bWxQSwECFAAUAAAACACHTuJAH7+P+NEBAACaAwAADgAAAAAAAAABACAAAAAgAQAA&#10;ZHJzL2Uyb0RvYy54bWxQSwUGAAAAAAYABgBZAQAAYwUAAAAA&#10;">
              <v:fill on="f" focussize="0,0"/>
              <v:stroke on="f"/>
              <v:imagedata o:title=""/>
              <o:lock v:ext="edit" aspectratio="f"/>
              <v:textbox inset="0mm,0mm,0mm,0mm" style="mso-fit-shape-to-text:t;">
                <w:txbxContent>
                  <w:p>
                    <w:pPr>
                      <w:pStyle w:val="2"/>
                    </w:pPr>
                    <w:r>
                      <w:t xml:space="preserve">— </w:t>
                    </w:r>
                    <w:r>
                      <w:rPr>
                        <w:sz w:val="20"/>
                        <w:szCs w:val="28"/>
                      </w:rPr>
                      <w:fldChar w:fldCharType="begin"/>
                    </w:r>
                    <w:r>
                      <w:rPr>
                        <w:sz w:val="20"/>
                        <w:szCs w:val="28"/>
                      </w:rPr>
                      <w:instrText xml:space="preserve"> PAGE  \* MERGEFORMAT </w:instrText>
                    </w:r>
                    <w:r>
                      <w:rPr>
                        <w:sz w:val="20"/>
                        <w:szCs w:val="28"/>
                      </w:rPr>
                      <w:fldChar w:fldCharType="separate"/>
                    </w:r>
                    <w:r>
                      <w:rPr>
                        <w:sz w:val="20"/>
                        <w:szCs w:val="28"/>
                      </w:rPr>
                      <w:t>15</w:t>
                    </w:r>
                    <w:r>
                      <w:rPr>
                        <w:sz w:val="20"/>
                        <w:szCs w:val="28"/>
                      </w:rPr>
                      <w:fldChar w:fldCharType="end"/>
                    </w:r>
                    <w: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89A"/>
    <w:rsid w:val="00026452"/>
    <w:rsid w:val="00034435"/>
    <w:rsid w:val="0009214C"/>
    <w:rsid w:val="00146CB9"/>
    <w:rsid w:val="002631E3"/>
    <w:rsid w:val="00290EB5"/>
    <w:rsid w:val="002E0680"/>
    <w:rsid w:val="0032274C"/>
    <w:rsid w:val="00357E28"/>
    <w:rsid w:val="003C4EF9"/>
    <w:rsid w:val="004814A1"/>
    <w:rsid w:val="005A6B17"/>
    <w:rsid w:val="00692B6A"/>
    <w:rsid w:val="00710922"/>
    <w:rsid w:val="008E74E1"/>
    <w:rsid w:val="0096689A"/>
    <w:rsid w:val="009C7D4A"/>
    <w:rsid w:val="009F3BE7"/>
    <w:rsid w:val="00BA68B9"/>
    <w:rsid w:val="00D67DDB"/>
    <w:rsid w:val="00E47C06"/>
    <w:rsid w:val="00E56DBF"/>
    <w:rsid w:val="00EE0601"/>
    <w:rsid w:val="00F24CFC"/>
    <w:rsid w:val="02054014"/>
    <w:rsid w:val="06071A0B"/>
    <w:rsid w:val="207917D1"/>
    <w:rsid w:val="2CDB2D8C"/>
    <w:rsid w:val="2E2F3E1D"/>
    <w:rsid w:val="38842816"/>
    <w:rsid w:val="39E37D39"/>
    <w:rsid w:val="497C0876"/>
    <w:rsid w:val="5D8E159A"/>
    <w:rsid w:val="6D782B6C"/>
    <w:rsid w:val="7D906105"/>
    <w:rsid w:val="7DA802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FollowedHyperlink"/>
    <w:basedOn w:val="5"/>
    <w:qFormat/>
    <w:uiPriority w:val="0"/>
    <w:rPr>
      <w:color w:val="333333"/>
      <w:u w:val="none"/>
    </w:rPr>
  </w:style>
  <w:style w:type="character" w:styleId="7">
    <w:name w:val="Hyperlink"/>
    <w:basedOn w:val="5"/>
    <w:uiPriority w:val="0"/>
    <w:rPr>
      <w:color w:val="333333"/>
      <w:u w:val="none"/>
    </w:rPr>
  </w:style>
  <w:style w:type="character" w:customStyle="1" w:styleId="8">
    <w:name w:val="font21"/>
    <w:basedOn w:val="5"/>
    <w:qFormat/>
    <w:uiPriority w:val="0"/>
    <w:rPr>
      <w:rFonts w:hint="eastAsia" w:ascii="宋体" w:hAnsi="宋体" w:eastAsia="宋体" w:cs="宋体"/>
      <w:color w:val="000000"/>
      <w:sz w:val="24"/>
      <w:szCs w:val="24"/>
      <w:u w:val="none"/>
    </w:rPr>
  </w:style>
  <w:style w:type="character" w:customStyle="1" w:styleId="9">
    <w:name w:val="font112"/>
    <w:basedOn w:val="5"/>
    <w:qFormat/>
    <w:uiPriority w:val="0"/>
    <w:rPr>
      <w:rFonts w:ascii="宋体" w:hAnsi="宋体" w:eastAsia="宋体" w:cs="宋体"/>
      <w:color w:val="000000"/>
      <w:sz w:val="24"/>
      <w:szCs w:val="24"/>
      <w:u w:val="none"/>
    </w:rPr>
  </w:style>
  <w:style w:type="character" w:customStyle="1" w:styleId="10">
    <w:name w:val="font31"/>
    <w:basedOn w:val="5"/>
    <w:qFormat/>
    <w:uiPriority w:val="0"/>
    <w:rPr>
      <w:rFonts w:hint="default" w:ascii="Times New Roman" w:hAnsi="Times New Roman" w:cs="Times New Roman"/>
      <w:color w:val="000000"/>
      <w:sz w:val="24"/>
      <w:szCs w:val="24"/>
      <w:u w:val="none"/>
    </w:rPr>
  </w:style>
  <w:style w:type="character" w:customStyle="1" w:styleId="11">
    <w:name w:val="font1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3114</Words>
  <Characters>17755</Characters>
  <Lines>147</Lines>
  <Paragraphs>41</Paragraphs>
  <TotalTime>26</TotalTime>
  <ScaleCrop>false</ScaleCrop>
  <LinksUpToDate>false</LinksUpToDate>
  <CharactersWithSpaces>20828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2021-09-02T08:18:00Z</dcterms:created>
  <dc:creator>Administrator</dc:creator>
  <cp:lastModifiedBy>遗忘</cp:lastModifiedBy>
  <cp:lastPrinted>2021-08-30T00:31:00Z</cp:lastPrinted>
  <dcterms:modified xsi:type="dcterms:W3CDTF">2021-09-30T10:03:49Z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23D251FB44CC4091B6D0B37B57AC4F60</vt:lpwstr>
  </property>
</Properties>
</file>