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rPr>
          <w:rFonts w:ascii="方正小标宋简体" w:eastAsia="方正小标宋简体"/>
          <w:b/>
          <w:color w:val="FF0000"/>
          <w:spacing w:val="-20"/>
          <w:w w:val="66"/>
          <w:sz w:val="84"/>
          <w:szCs w:val="84"/>
        </w:rPr>
      </w:pPr>
      <w:r>
        <w:rPr>
          <w:rFonts w:hint="eastAsia" w:ascii="方正小标宋简体" w:eastAsia="方正小标宋简体"/>
          <w:b/>
          <w:color w:val="FF0000"/>
          <w:spacing w:val="-20"/>
          <w:w w:val="66"/>
          <w:sz w:val="84"/>
          <w:szCs w:val="84"/>
        </w:rPr>
        <w:t>内乡县部门联合“双随机、一公开”</w:t>
      </w:r>
    </w:p>
    <w:p>
      <w:pPr>
        <w:spacing w:line="1200" w:lineRule="exact"/>
        <w:jc w:val="center"/>
        <w:rPr>
          <w:rFonts w:ascii="方正小标宋简体" w:eastAsia="方正小标宋简体"/>
          <w:b/>
          <w:color w:val="FF0000"/>
          <w:spacing w:val="36"/>
          <w:w w:val="66"/>
          <w:sz w:val="84"/>
          <w:szCs w:val="84"/>
        </w:rPr>
      </w:pPr>
      <w:r>
        <w:rPr>
          <w:rFonts w:hint="eastAsia" w:ascii="方正小标宋简体" w:eastAsia="方正小标宋简体"/>
          <w:b/>
          <w:color w:val="FF0000"/>
          <w:spacing w:val="36"/>
          <w:w w:val="66"/>
          <w:sz w:val="84"/>
          <w:szCs w:val="84"/>
        </w:rPr>
        <w:t>监管工作联席会议办公室文件</w:t>
      </w:r>
    </w:p>
    <w:p>
      <w:pPr>
        <w:widowControl/>
        <w:shd w:val="clear" w:color="auto" w:fill="FFFFFF"/>
        <w:spacing w:line="450" w:lineRule="atLeast"/>
        <w:jc w:val="center"/>
        <w:rPr>
          <w:rFonts w:ascii="仿宋_GB2312" w:hAnsi="宋体" w:eastAsia="仿宋_GB2312" w:cs="宋体"/>
          <w:color w:val="000000"/>
          <w:kern w:val="0"/>
          <w:sz w:val="32"/>
          <w:szCs w:val="32"/>
        </w:rPr>
      </w:pPr>
    </w:p>
    <w:p>
      <w:pPr>
        <w:widowControl/>
        <w:shd w:val="clear" w:color="auto" w:fill="FFFFFF"/>
        <w:spacing w:line="450" w:lineRule="atLeas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内双随机办[202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号</w:t>
      </w:r>
    </w:p>
    <w:p>
      <w:pPr>
        <w:widowControl/>
        <w:shd w:val="clear" w:color="auto" w:fill="FFFFFF"/>
        <w:spacing w:line="600" w:lineRule="exact"/>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64770</wp:posOffset>
                </wp:positionV>
                <wp:extent cx="5743575" cy="0"/>
                <wp:effectExtent l="0" t="17145" r="9525" b="2095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34925">
                          <a:solidFill>
                            <a:srgbClr val="FF0000"/>
                          </a:solidFill>
                          <a:round/>
                        </a:ln>
                        <a:effectLst/>
                      </wps:spPr>
                      <wps:bodyPr/>
                    </wps:wsp>
                  </a:graphicData>
                </a:graphic>
              </wp:anchor>
            </w:drawing>
          </mc:Choice>
          <mc:Fallback>
            <w:pict>
              <v:shape id="_x0000_s1026" o:spid="_x0000_s1026" o:spt="32" type="#_x0000_t32" style="position:absolute;left:0pt;margin-left:-4.5pt;margin-top:5.1pt;height:0pt;width:452.25pt;z-index:251659264;mso-width-relative:page;mso-height-relative:page;" filled="f" stroked="t" coordsize="21600,21600" o:gfxdata="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41g9UAAAAIAQAADwAAAAAAAAABACAAAAAiAAAAZHJzL2Rvd25yZXYu&#10;eG1sUEsBAhQAFAAAAAgAh07iQO5hs4X+AQAAzQMAAA4AAAAAAAAAAQAgAAAAJAEAAGRycy9lMm9E&#10;b2MueG1sUEsFBgAAAAAGAAYAWQEAAJQFAAAAAA==&#10;">
                <v:fill on="f" focussize="0,0"/>
                <v:stroke weight="2.75pt" color="#FF0000" joinstyle="round"/>
                <v:imagedata o:title=""/>
                <o:lock v:ext="edit" aspectratio="f"/>
              </v:shape>
            </w:pict>
          </mc:Fallback>
        </mc:AlternateContent>
      </w:r>
    </w:p>
    <w:p>
      <w:pPr>
        <w:spacing w:line="600" w:lineRule="exact"/>
        <w:jc w:val="center"/>
        <w:rPr>
          <w:rFonts w:ascii="方正小标宋简体" w:eastAsia="方正小标宋简体"/>
          <w:spacing w:val="-20"/>
          <w:sz w:val="36"/>
          <w:szCs w:val="36"/>
        </w:rPr>
      </w:pPr>
      <w:r>
        <w:rPr>
          <w:rFonts w:hint="eastAsia" w:ascii="方正小标宋简体" w:eastAsia="方正小标宋简体"/>
          <w:spacing w:val="-20"/>
          <w:sz w:val="36"/>
          <w:szCs w:val="36"/>
        </w:rPr>
        <w:t>内乡县部门联合“双随机、一公开”监管工作联席会议办公室</w:t>
      </w:r>
      <w:r>
        <w:rPr>
          <w:rFonts w:hint="eastAsia" w:ascii="方正小标宋简体" w:hAnsi="宋体" w:eastAsia="方正小标宋简体" w:cs="宋体"/>
          <w:color w:val="000000"/>
          <w:spacing w:val="-20"/>
          <w:kern w:val="0"/>
          <w:sz w:val="36"/>
          <w:szCs w:val="36"/>
        </w:rPr>
        <w:t>关</w:t>
      </w:r>
      <w:r>
        <w:rPr>
          <w:rFonts w:ascii="方正小标宋简体" w:eastAsia="方正小标宋简体"/>
          <w:spacing w:val="-20"/>
          <w:sz w:val="36"/>
          <w:szCs w:val="36"/>
        </w:rPr>
        <w:t>于印发《</w:t>
      </w:r>
      <w:r>
        <w:rPr>
          <w:rFonts w:hint="eastAsia" w:ascii="方正小标宋简体" w:eastAsia="方正小标宋简体"/>
          <w:spacing w:val="-20"/>
          <w:sz w:val="36"/>
          <w:szCs w:val="36"/>
        </w:rPr>
        <w:t>内乡县市场监管领域</w:t>
      </w:r>
      <w:r>
        <w:rPr>
          <w:rFonts w:ascii="方正小标宋简体" w:eastAsia="方正小标宋简体"/>
          <w:spacing w:val="-20"/>
          <w:sz w:val="36"/>
          <w:szCs w:val="36"/>
        </w:rPr>
        <w:t>部门联合随机</w:t>
      </w:r>
      <w:r>
        <w:rPr>
          <w:rFonts w:hint="eastAsia" w:ascii="方正小标宋简体" w:eastAsia="方正小标宋简体"/>
          <w:spacing w:val="-20"/>
          <w:sz w:val="36"/>
          <w:szCs w:val="36"/>
        </w:rPr>
        <w:t>检查</w:t>
      </w:r>
      <w:r>
        <w:rPr>
          <w:rFonts w:ascii="方正小标宋简体" w:eastAsia="方正小标宋简体"/>
          <w:spacing w:val="-20"/>
          <w:sz w:val="36"/>
          <w:szCs w:val="36"/>
        </w:rPr>
        <w:t>事项清单》</w:t>
      </w:r>
      <w:r>
        <w:rPr>
          <w:rFonts w:hint="eastAsia" w:ascii="方正小标宋简体" w:eastAsia="方正小标宋简体"/>
          <w:spacing w:val="-20"/>
          <w:sz w:val="36"/>
          <w:szCs w:val="36"/>
          <w:lang w:eastAsia="zh-CN"/>
        </w:rPr>
        <w:t>（</w:t>
      </w:r>
      <w:r>
        <w:rPr>
          <w:rFonts w:hint="eastAsia" w:ascii="方正小标宋简体" w:eastAsia="方正小标宋简体"/>
          <w:spacing w:val="-20"/>
          <w:sz w:val="36"/>
          <w:szCs w:val="36"/>
          <w:lang w:val="en-US" w:eastAsia="zh-CN"/>
        </w:rPr>
        <w:t>2022年版</w:t>
      </w:r>
      <w:r>
        <w:rPr>
          <w:rFonts w:hint="eastAsia" w:ascii="方正小标宋简体" w:eastAsia="方正小标宋简体"/>
          <w:spacing w:val="-20"/>
          <w:sz w:val="36"/>
          <w:szCs w:val="36"/>
          <w:lang w:eastAsia="zh-CN"/>
        </w:rPr>
        <w:t>）</w:t>
      </w:r>
      <w:r>
        <w:rPr>
          <w:rFonts w:ascii="方正小标宋简体" w:eastAsia="方正小标宋简体"/>
          <w:spacing w:val="-20"/>
          <w:sz w:val="36"/>
          <w:szCs w:val="36"/>
        </w:rPr>
        <w:t>及《</w:t>
      </w:r>
      <w:r>
        <w:rPr>
          <w:rFonts w:hint="eastAsia" w:ascii="方正小标宋简体" w:eastAsia="方正小标宋简体"/>
          <w:spacing w:val="-20"/>
          <w:sz w:val="36"/>
          <w:szCs w:val="36"/>
        </w:rPr>
        <w:t>内乡县</w:t>
      </w:r>
      <w:r>
        <w:rPr>
          <w:rFonts w:hint="eastAsia" w:ascii="方正小标宋简体" w:eastAsia="方正小标宋简体"/>
          <w:spacing w:val="-20"/>
          <w:sz w:val="36"/>
          <w:szCs w:val="36"/>
          <w:lang w:val="en-US" w:eastAsia="zh-CN"/>
        </w:rPr>
        <w:t>2022年</w:t>
      </w:r>
      <w:r>
        <w:rPr>
          <w:rFonts w:hint="eastAsia" w:ascii="方正小标宋简体" w:eastAsia="方正小标宋简体"/>
          <w:spacing w:val="-20"/>
          <w:sz w:val="36"/>
          <w:szCs w:val="36"/>
        </w:rPr>
        <w:t>市场监管领域</w:t>
      </w:r>
      <w:r>
        <w:rPr>
          <w:rFonts w:ascii="方正小标宋简体" w:eastAsia="方正小标宋简体"/>
          <w:spacing w:val="-20"/>
          <w:sz w:val="36"/>
          <w:szCs w:val="36"/>
        </w:rPr>
        <w:t>部门联合“双随机、一公开”监管抽查工作计划》的</w:t>
      </w:r>
      <w:r>
        <w:rPr>
          <w:rFonts w:hint="eastAsia" w:ascii="方正小标宋简体" w:eastAsia="方正小标宋简体"/>
          <w:spacing w:val="-20"/>
          <w:sz w:val="36"/>
          <w:szCs w:val="36"/>
        </w:rPr>
        <w:t xml:space="preserve"> </w:t>
      </w:r>
      <w:r>
        <w:rPr>
          <w:rFonts w:ascii="方正小标宋简体" w:eastAsia="方正小标宋简体"/>
          <w:spacing w:val="-20"/>
          <w:sz w:val="36"/>
          <w:szCs w:val="36"/>
        </w:rPr>
        <w:t>通知</w:t>
      </w:r>
    </w:p>
    <w:p>
      <w:pPr>
        <w:pStyle w:val="7"/>
        <w:rPr>
          <w:rFonts w:ascii="宋体" w:hAnsi="宋体"/>
          <w:kern w:val="0"/>
          <w:sz w:val="30"/>
          <w:szCs w:val="30"/>
        </w:rPr>
      </w:pPr>
    </w:p>
    <w:p>
      <w:pPr>
        <w:pStyle w:val="7"/>
        <w:rPr>
          <w:rFonts w:ascii="仿宋_GB2312" w:hAnsi="宋体" w:eastAsia="仿宋_GB2312"/>
          <w:kern w:val="0"/>
          <w:sz w:val="32"/>
          <w:szCs w:val="32"/>
        </w:rPr>
      </w:pPr>
      <w:r>
        <w:rPr>
          <w:rFonts w:hint="eastAsia" w:ascii="仿宋_GB2312" w:hAnsi="宋体" w:eastAsia="仿宋_GB2312"/>
          <w:kern w:val="0"/>
          <w:sz w:val="32"/>
          <w:szCs w:val="32"/>
        </w:rPr>
        <w:t>县部门联合“双随机、一公开”监管联席会议</w:t>
      </w:r>
      <w:r>
        <w:rPr>
          <w:rFonts w:hint="eastAsia" w:ascii="仿宋_GB2312" w:hAnsi="宋体" w:eastAsia="仿宋_GB2312"/>
          <w:kern w:val="0"/>
          <w:sz w:val="32"/>
          <w:szCs w:val="32"/>
          <w:lang w:eastAsia="zh-CN"/>
        </w:rPr>
        <w:t>各</w:t>
      </w:r>
      <w:r>
        <w:rPr>
          <w:rFonts w:hint="eastAsia" w:ascii="仿宋_GB2312" w:hAnsi="宋体" w:eastAsia="仿宋_GB2312"/>
          <w:kern w:val="0"/>
          <w:sz w:val="32"/>
          <w:szCs w:val="32"/>
        </w:rPr>
        <w:t>成员单位：</w:t>
      </w:r>
    </w:p>
    <w:p>
      <w:pPr>
        <w:pStyle w:val="7"/>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为</w:t>
      </w:r>
      <w:r>
        <w:rPr>
          <w:rFonts w:hint="eastAsia" w:ascii="仿宋_GB2312" w:hAnsi="宋体" w:eastAsia="仿宋_GB2312"/>
          <w:kern w:val="0"/>
          <w:sz w:val="32"/>
          <w:szCs w:val="32"/>
          <w:lang w:eastAsia="zh-CN"/>
        </w:rPr>
        <w:t>了</w:t>
      </w:r>
      <w:r>
        <w:rPr>
          <w:rFonts w:hint="eastAsia" w:ascii="仿宋_GB2312" w:hAnsi="宋体" w:eastAsia="仿宋_GB2312"/>
          <w:kern w:val="0"/>
          <w:sz w:val="32"/>
          <w:szCs w:val="32"/>
        </w:rPr>
        <w:t>贯彻《国务院关于在市场监管领域全面推行部门联合“双随机、一公开”监管的意见》（国发〔2019〕5号）</w:t>
      </w:r>
      <w:r>
        <w:rPr>
          <w:rFonts w:hint="eastAsia" w:ascii="仿宋_GB2312" w:hAnsi="宋体" w:eastAsia="仿宋_GB2312"/>
          <w:kern w:val="0"/>
          <w:sz w:val="32"/>
          <w:szCs w:val="32"/>
          <w:lang w:eastAsia="zh-CN"/>
        </w:rPr>
        <w:t>，落实</w:t>
      </w:r>
      <w:r>
        <w:rPr>
          <w:rFonts w:hint="eastAsia" w:ascii="仿宋_GB2312" w:hAnsi="宋体" w:eastAsia="仿宋_GB2312"/>
          <w:sz w:val="30"/>
          <w:szCs w:val="30"/>
        </w:rPr>
        <w:t>《河南省人民政府关于在市场监管领域全面推行部门联合“双随机、一公开”监管的实施意见》</w:t>
      </w:r>
      <w:r>
        <w:rPr>
          <w:rFonts w:hint="eastAsia" w:ascii="仿宋_GB2312" w:hAnsi="宋体" w:eastAsia="仿宋_GB2312"/>
          <w:sz w:val="32"/>
          <w:szCs w:val="32"/>
        </w:rPr>
        <w:t>（豫政〔2019〕22号）</w:t>
      </w:r>
      <w:r>
        <w:rPr>
          <w:rFonts w:hint="eastAsia" w:ascii="仿宋_GB2312" w:hAnsi="宋体" w:eastAsia="仿宋_GB2312"/>
          <w:sz w:val="32"/>
          <w:szCs w:val="32"/>
          <w:lang w:eastAsia="zh-CN"/>
        </w:rPr>
        <w:t>文件精神，根据</w:t>
      </w:r>
      <w:r>
        <w:rPr>
          <w:rFonts w:hint="eastAsia" w:ascii="仿宋_GB2312" w:eastAsia="仿宋_GB2312"/>
          <w:sz w:val="32"/>
          <w:szCs w:val="32"/>
          <w:lang w:eastAsia="zh-CN"/>
        </w:rPr>
        <w:t>《</w:t>
      </w:r>
      <w:r>
        <w:rPr>
          <w:rFonts w:hint="default" w:ascii="仿宋_GB2312" w:eastAsia="仿宋_GB2312"/>
          <w:sz w:val="32"/>
          <w:szCs w:val="32"/>
        </w:rPr>
        <w:t>河南省人民政府办公厅关于公布省政府部门随机抽查事项清单的通知</w:t>
      </w:r>
      <w:r>
        <w:rPr>
          <w:rFonts w:hint="eastAsia" w:ascii="仿宋_GB2312" w:eastAsia="仿宋_GB2312"/>
          <w:sz w:val="32"/>
          <w:szCs w:val="32"/>
          <w:lang w:eastAsia="zh-CN"/>
        </w:rPr>
        <w:t>》（</w:t>
      </w:r>
      <w:r>
        <w:rPr>
          <w:rFonts w:hint="default" w:ascii="仿宋_GB2312" w:eastAsia="仿宋_GB2312"/>
          <w:sz w:val="32"/>
          <w:szCs w:val="32"/>
        </w:rPr>
        <w:t>豫政办〔2017〕80号</w:t>
      </w:r>
      <w:r>
        <w:rPr>
          <w:rFonts w:hint="eastAsia" w:ascii="仿宋_GB2312" w:eastAsia="仿宋_GB2312"/>
          <w:sz w:val="32"/>
          <w:szCs w:val="32"/>
          <w:lang w:eastAsia="zh-CN"/>
        </w:rPr>
        <w:t>）和</w:t>
      </w:r>
      <w:r>
        <w:rPr>
          <w:rFonts w:hint="eastAsia" w:ascii="仿宋_GB2312" w:hAnsi="宋体" w:eastAsia="仿宋_GB2312"/>
          <w:sz w:val="32"/>
          <w:szCs w:val="32"/>
        </w:rPr>
        <w:t>《河南省市场监管领域部门联合抽查事项清单（第一版）》，</w:t>
      </w:r>
      <w:r>
        <w:rPr>
          <w:rFonts w:hint="eastAsia" w:ascii="仿宋_GB2312" w:hAnsi="宋体" w:eastAsia="仿宋_GB2312"/>
          <w:sz w:val="32"/>
          <w:szCs w:val="32"/>
          <w:lang w:eastAsia="zh-CN"/>
        </w:rPr>
        <w:t>全面</w:t>
      </w:r>
      <w:r>
        <w:rPr>
          <w:rFonts w:hint="eastAsia" w:ascii="仿宋_GB2312" w:hAnsi="宋体" w:eastAsia="仿宋_GB2312"/>
          <w:sz w:val="32"/>
          <w:szCs w:val="32"/>
        </w:rPr>
        <w:t>推进</w:t>
      </w:r>
      <w:r>
        <w:rPr>
          <w:rFonts w:hint="eastAsia" w:ascii="仿宋_GB2312" w:hAnsi="宋体" w:eastAsia="仿宋_GB2312"/>
          <w:sz w:val="32"/>
          <w:szCs w:val="32"/>
          <w:lang w:eastAsia="zh-CN"/>
        </w:rPr>
        <w:t>全县</w:t>
      </w:r>
      <w:r>
        <w:rPr>
          <w:rFonts w:hint="eastAsia" w:ascii="仿宋_GB2312" w:hAnsi="宋体" w:eastAsia="仿宋_GB2312"/>
          <w:sz w:val="32"/>
          <w:szCs w:val="32"/>
        </w:rPr>
        <w:t>部门联合</w:t>
      </w:r>
      <w:r>
        <w:rPr>
          <w:rFonts w:hint="eastAsia" w:ascii="仿宋_GB2312" w:hAnsi="宋体" w:eastAsia="仿宋_GB2312"/>
          <w:sz w:val="32"/>
          <w:szCs w:val="32"/>
          <w:lang w:eastAsia="zh-CN"/>
        </w:rPr>
        <w:t>抽查检查</w:t>
      </w:r>
      <w:r>
        <w:rPr>
          <w:rFonts w:hint="eastAsia" w:ascii="仿宋_GB2312" w:hAnsi="宋体" w:eastAsia="仿宋_GB2312"/>
          <w:sz w:val="32"/>
          <w:szCs w:val="32"/>
        </w:rPr>
        <w:t>，进一步完善全县市场监管领域部门联合“双随机、一公开”监管工作机制，着力提高</w:t>
      </w:r>
      <w:r>
        <w:rPr>
          <w:rFonts w:hint="eastAsia" w:ascii="仿宋_GB2312" w:hAnsi="宋体" w:eastAsia="仿宋_GB2312"/>
          <w:sz w:val="32"/>
          <w:szCs w:val="32"/>
          <w:lang w:eastAsia="zh-CN"/>
        </w:rPr>
        <w:t>行政执法</w:t>
      </w:r>
      <w:r>
        <w:rPr>
          <w:rFonts w:hint="eastAsia" w:ascii="仿宋_GB2312" w:hAnsi="宋体" w:eastAsia="仿宋_GB2312"/>
          <w:sz w:val="32"/>
          <w:szCs w:val="32"/>
        </w:rPr>
        <w:t>效能，避免多头执法、重复执法，县市场监管领域部门联合“双随机、一</w:t>
      </w:r>
      <w:r>
        <w:rPr>
          <w:rFonts w:hint="eastAsia" w:ascii="仿宋_GB2312" w:hAnsi="宋体" w:eastAsia="仿宋_GB2312"/>
          <w:kern w:val="0"/>
          <w:sz w:val="32"/>
          <w:szCs w:val="32"/>
        </w:rPr>
        <w:t>公开”监管工作联席会议办公室制定了《内乡县市场监管领域部门联合随机检查事项清单》</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2022年版</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及《内乡县</w:t>
      </w:r>
      <w:r>
        <w:rPr>
          <w:rFonts w:hint="eastAsia" w:ascii="仿宋_GB2312" w:hAnsi="宋体" w:eastAsia="仿宋_GB2312"/>
          <w:kern w:val="0"/>
          <w:sz w:val="32"/>
          <w:szCs w:val="32"/>
          <w:lang w:val="en-US" w:eastAsia="zh-CN"/>
        </w:rPr>
        <w:t>2022年</w:t>
      </w:r>
      <w:r>
        <w:rPr>
          <w:rFonts w:hint="eastAsia" w:ascii="仿宋_GB2312" w:hAnsi="宋体" w:eastAsia="仿宋_GB2312"/>
          <w:kern w:val="0"/>
          <w:sz w:val="32"/>
          <w:szCs w:val="32"/>
        </w:rPr>
        <w:t>市场监管领域部门联合“双随机、一公开”监管抽查工作计划》，现印发给你们，请认真贯彻执行。</w:t>
      </w:r>
    </w:p>
    <w:p>
      <w:pPr>
        <w:pStyle w:val="7"/>
        <w:ind w:left="4151" w:leftChars="1748" w:hanging="480" w:hangingChars="150"/>
        <w:jc w:val="left"/>
        <w:rPr>
          <w:rFonts w:ascii="仿宋_GB2312" w:hAnsi="宋体" w:eastAsia="仿宋_GB2312"/>
          <w:kern w:val="0"/>
          <w:sz w:val="32"/>
          <w:szCs w:val="32"/>
        </w:rPr>
      </w:pPr>
    </w:p>
    <w:p>
      <w:pPr>
        <w:pStyle w:val="7"/>
        <w:ind w:left="4151" w:leftChars="1748" w:hanging="480" w:hangingChars="150"/>
        <w:jc w:val="left"/>
        <w:rPr>
          <w:rFonts w:ascii="仿宋_GB2312" w:hAnsi="宋体" w:eastAsia="仿宋_GB2312"/>
          <w:kern w:val="0"/>
          <w:sz w:val="32"/>
          <w:szCs w:val="32"/>
        </w:rPr>
      </w:pPr>
    </w:p>
    <w:p>
      <w:pPr>
        <w:pStyle w:val="7"/>
        <w:ind w:left="4151" w:leftChars="1748" w:hanging="480" w:hangingChars="150"/>
        <w:jc w:val="left"/>
        <w:rPr>
          <w:rFonts w:ascii="仿宋_GB2312" w:hAnsi="宋体" w:eastAsia="仿宋_GB2312"/>
          <w:kern w:val="0"/>
          <w:sz w:val="32"/>
          <w:szCs w:val="32"/>
        </w:rPr>
      </w:pPr>
    </w:p>
    <w:p>
      <w:pPr>
        <w:pStyle w:val="7"/>
        <w:ind w:left="4044" w:leftChars="1545" w:hanging="800" w:hangingChars="250"/>
        <w:jc w:val="left"/>
        <w:rPr>
          <w:rFonts w:ascii="仿宋_GB2312" w:hAnsi="宋体" w:eastAsia="仿宋_GB2312"/>
          <w:kern w:val="0"/>
          <w:sz w:val="32"/>
          <w:szCs w:val="32"/>
        </w:rPr>
      </w:pPr>
      <w:r>
        <w:rPr>
          <w:rFonts w:hint="eastAsia" w:ascii="仿宋_GB2312" w:hAnsi="宋体" w:eastAsia="仿宋_GB2312"/>
          <w:kern w:val="0"/>
          <w:sz w:val="32"/>
          <w:szCs w:val="32"/>
        </w:rPr>
        <w:t>内乡县部门联合“双随机、一公开”  监管工作联席会议办公室</w:t>
      </w:r>
    </w:p>
    <w:p>
      <w:pPr>
        <w:ind w:firstLine="4800" w:firstLineChars="1500"/>
        <w:rPr>
          <w:rFonts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eastAsia="仿宋_GB2312"/>
          <w:kern w:val="0"/>
          <w:sz w:val="32"/>
          <w:szCs w:val="32"/>
        </w:rPr>
        <w:t>年1月</w:t>
      </w:r>
      <w:r>
        <w:rPr>
          <w:rFonts w:hint="eastAsia" w:ascii="仿宋_GB2312" w:eastAsia="仿宋_GB2312"/>
          <w:kern w:val="0"/>
          <w:sz w:val="32"/>
          <w:szCs w:val="32"/>
          <w:lang w:val="en-US" w:eastAsia="zh-CN"/>
        </w:rPr>
        <w:t>5</w:t>
      </w:r>
      <w:r>
        <w:rPr>
          <w:rFonts w:hint="eastAsia" w:ascii="仿宋_GB2312" w:eastAsia="仿宋_GB2312"/>
          <w:kern w:val="0"/>
          <w:sz w:val="32"/>
          <w:szCs w:val="32"/>
        </w:rPr>
        <w:t>日</w:t>
      </w:r>
    </w:p>
    <w:p>
      <w:pPr>
        <w:ind w:firstLine="4800" w:firstLineChars="1500"/>
        <w:rPr>
          <w:rFonts w:ascii="仿宋_GB2312" w:eastAsia="仿宋_GB2312"/>
          <w:kern w:val="0"/>
          <w:sz w:val="32"/>
          <w:szCs w:val="32"/>
        </w:rPr>
      </w:pPr>
    </w:p>
    <w:p>
      <w:pPr>
        <w:ind w:firstLine="4800" w:firstLineChars="1500"/>
        <w:rPr>
          <w:rFonts w:ascii="仿宋_GB2312" w:eastAsia="仿宋_GB2312"/>
          <w:kern w:val="0"/>
          <w:sz w:val="32"/>
          <w:szCs w:val="32"/>
        </w:rPr>
        <w:sectPr>
          <w:footerReference r:id="rId3" w:type="default"/>
          <w:pgSz w:w="11906" w:h="16838"/>
          <w:pgMar w:top="1440" w:right="1800" w:bottom="1440" w:left="1800" w:header="851" w:footer="992" w:gutter="0"/>
          <w:cols w:space="720" w:num="1"/>
          <w:docGrid w:type="lines" w:linePitch="312" w:charSpace="0"/>
        </w:sectPr>
      </w:pPr>
    </w:p>
    <w:p>
      <w:pPr>
        <w:jc w:val="left"/>
        <w:rPr>
          <w:rFonts w:ascii="宋体" w:hAnsi="宋体" w:cs="方正大标宋简体"/>
          <w:sz w:val="32"/>
          <w:szCs w:val="32"/>
        </w:rPr>
      </w:pPr>
      <w:r>
        <w:rPr>
          <w:rFonts w:ascii="宋体" w:hAnsi="宋体" w:cs="方正大标宋简体"/>
          <w:sz w:val="32"/>
          <w:szCs w:val="32"/>
        </w:rPr>
        <w:t>附件</w:t>
      </w:r>
      <w:r>
        <w:rPr>
          <w:rFonts w:hint="eastAsia" w:ascii="宋体" w:hAnsi="宋体" w:cs="方正大标宋简体"/>
          <w:sz w:val="32"/>
          <w:szCs w:val="32"/>
          <w:lang w:eastAsia="zh-CN"/>
        </w:rPr>
        <w:t>：</w:t>
      </w:r>
      <w:r>
        <w:rPr>
          <w:rFonts w:ascii="宋体" w:hAnsi="宋体" w:cs="方正大标宋简体"/>
          <w:sz w:val="32"/>
          <w:szCs w:val="32"/>
        </w:rPr>
        <w:t>1</w:t>
      </w:r>
    </w:p>
    <w:p>
      <w:pPr>
        <w:jc w:val="center"/>
        <w:rPr>
          <w:rFonts w:hint="eastAsia" w:ascii="宋体" w:hAnsi="宋体" w:eastAsia="宋体"/>
          <w:b/>
          <w:sz w:val="44"/>
          <w:szCs w:val="44"/>
        </w:rPr>
      </w:pPr>
      <w:r>
        <w:rPr>
          <w:rFonts w:hint="eastAsia" w:ascii="宋体" w:hAnsi="宋体"/>
          <w:b/>
          <w:sz w:val="44"/>
          <w:szCs w:val="44"/>
        </w:rPr>
        <w:t>内乡县市场监管领域部门联合随机检查事项清单</w:t>
      </w:r>
      <w:r>
        <w:rPr>
          <w:rFonts w:hint="eastAsia" w:ascii="宋体" w:hAnsi="宋体" w:eastAsia="宋体"/>
          <w:b/>
          <w:sz w:val="44"/>
          <w:szCs w:val="44"/>
        </w:rPr>
        <w:t>（</w:t>
      </w:r>
      <w:r>
        <w:rPr>
          <w:rFonts w:hint="eastAsia" w:ascii="宋体" w:hAnsi="宋体" w:eastAsia="宋体"/>
          <w:b/>
          <w:sz w:val="44"/>
          <w:szCs w:val="44"/>
          <w:lang w:val="en-US" w:eastAsia="zh-CN"/>
        </w:rPr>
        <w:t>2022年版</w:t>
      </w:r>
      <w:r>
        <w:rPr>
          <w:rFonts w:hint="eastAsia" w:ascii="宋体" w:hAnsi="宋体" w:eastAsia="宋体"/>
          <w:b/>
          <w:sz w:val="44"/>
          <w:szCs w:val="44"/>
        </w:rPr>
        <w:t>）</w:t>
      </w:r>
    </w:p>
    <w:tbl>
      <w:tblPr>
        <w:tblStyle w:val="4"/>
        <w:tblW w:w="14713" w:type="dxa"/>
        <w:jc w:val="center"/>
        <w:tblLayout w:type="fixed"/>
        <w:tblCellMar>
          <w:top w:w="0" w:type="dxa"/>
          <w:left w:w="108" w:type="dxa"/>
          <w:bottom w:w="0" w:type="dxa"/>
          <w:right w:w="108" w:type="dxa"/>
        </w:tblCellMar>
      </w:tblPr>
      <w:tblGrid>
        <w:gridCol w:w="627"/>
        <w:gridCol w:w="733"/>
        <w:gridCol w:w="972"/>
        <w:gridCol w:w="968"/>
        <w:gridCol w:w="715"/>
        <w:gridCol w:w="689"/>
        <w:gridCol w:w="675"/>
        <w:gridCol w:w="734"/>
        <w:gridCol w:w="2700"/>
        <w:gridCol w:w="622"/>
        <w:gridCol w:w="825"/>
        <w:gridCol w:w="1065"/>
        <w:gridCol w:w="3388"/>
      </w:tblGrid>
      <w:tr>
        <w:tblPrEx>
          <w:tblCellMar>
            <w:top w:w="0" w:type="dxa"/>
            <w:left w:w="108" w:type="dxa"/>
            <w:bottom w:w="0" w:type="dxa"/>
            <w:right w:w="108" w:type="dxa"/>
          </w:tblCellMar>
        </w:tblPrEx>
        <w:trPr>
          <w:trHeight w:val="466" w:hRule="atLeast"/>
          <w:jc w:val="center"/>
        </w:trPr>
        <w:tc>
          <w:tcPr>
            <w:tcW w:w="627" w:type="dxa"/>
            <w:vMerge w:val="restart"/>
            <w:tcBorders>
              <w:top w:val="single" w:color="auto" w:sz="4" w:space="0"/>
              <w:left w:val="single" w:color="auto" w:sz="4" w:space="0"/>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733"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发起</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1940" w:type="dxa"/>
            <w:gridSpan w:val="2"/>
            <w:tcBorders>
              <w:top w:val="single" w:color="auto" w:sz="4" w:space="0"/>
              <w:left w:val="nil"/>
              <w:bottom w:val="single" w:color="auto" w:sz="4" w:space="0"/>
              <w:right w:val="single" w:color="auto" w:sz="4" w:space="0"/>
            </w:tcBorders>
            <w:vAlign w:val="center"/>
          </w:tcPr>
          <w:p>
            <w:pPr>
              <w:ind w:firstLine="440" w:firstLineChars="200"/>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抽查项目</w:t>
            </w:r>
          </w:p>
        </w:tc>
        <w:tc>
          <w:tcPr>
            <w:tcW w:w="715"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689"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类别</w:t>
            </w:r>
          </w:p>
        </w:tc>
        <w:tc>
          <w:tcPr>
            <w:tcW w:w="675"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方式</w:t>
            </w:r>
          </w:p>
        </w:tc>
        <w:tc>
          <w:tcPr>
            <w:tcW w:w="734"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检查主体</w:t>
            </w:r>
          </w:p>
        </w:tc>
        <w:tc>
          <w:tcPr>
            <w:tcW w:w="2700" w:type="dxa"/>
            <w:vMerge w:val="restart"/>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检查依据</w:t>
            </w:r>
          </w:p>
        </w:tc>
        <w:tc>
          <w:tcPr>
            <w:tcW w:w="622" w:type="dxa"/>
            <w:vMerge w:val="restart"/>
            <w:tcBorders>
              <w:top w:val="single" w:color="auto" w:sz="4" w:space="0"/>
              <w:left w:val="nil"/>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参与</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1890" w:type="dxa"/>
            <w:gridSpan w:val="2"/>
            <w:tcBorders>
              <w:top w:val="single" w:color="auto" w:sz="4" w:space="0"/>
              <w:left w:val="nil"/>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抽查项目</w:t>
            </w:r>
          </w:p>
        </w:tc>
        <w:tc>
          <w:tcPr>
            <w:tcW w:w="3388" w:type="dxa"/>
            <w:vMerge w:val="restart"/>
            <w:tcBorders>
              <w:top w:val="single" w:color="auto" w:sz="4" w:space="0"/>
              <w:left w:val="nil"/>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检查依据</w:t>
            </w:r>
          </w:p>
        </w:tc>
      </w:tr>
      <w:tr>
        <w:tblPrEx>
          <w:tblCellMar>
            <w:top w:w="0" w:type="dxa"/>
            <w:left w:w="108" w:type="dxa"/>
            <w:bottom w:w="0" w:type="dxa"/>
            <w:right w:w="108" w:type="dxa"/>
          </w:tblCellMar>
        </w:tblPrEx>
        <w:trPr>
          <w:trHeight w:val="82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3"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72" w:type="dxa"/>
            <w:tcBorders>
              <w:top w:val="nil"/>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类别</w:t>
            </w:r>
          </w:p>
        </w:tc>
        <w:tc>
          <w:tcPr>
            <w:tcW w:w="968" w:type="dxa"/>
            <w:tcBorders>
              <w:top w:val="nil"/>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715"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89"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5"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4"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700"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22" w:type="dxa"/>
            <w:vMerge w:val="continue"/>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2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106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w:t>
            </w:r>
          </w:p>
        </w:tc>
        <w:tc>
          <w:tcPr>
            <w:tcW w:w="3388" w:type="dxa"/>
            <w:vMerge w:val="continue"/>
            <w:tcBorders>
              <w:top w:val="single" w:color="auto" w:sz="4" w:space="0"/>
              <w:left w:val="nil"/>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62" w:hRule="atLeast"/>
          <w:jc w:val="center"/>
        </w:trPr>
        <w:tc>
          <w:tcPr>
            <w:tcW w:w="627" w:type="dxa"/>
            <w:vMerge w:val="restart"/>
            <w:tcBorders>
              <w:top w:val="single" w:color="auto" w:sz="4" w:space="0"/>
              <w:left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p>
        </w:tc>
        <w:tc>
          <w:tcPr>
            <w:tcW w:w="733"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应急局</w:t>
            </w:r>
          </w:p>
        </w:tc>
        <w:tc>
          <w:tcPr>
            <w:tcW w:w="972"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危险化学品监督检查</w:t>
            </w:r>
          </w:p>
        </w:tc>
        <w:tc>
          <w:tcPr>
            <w:tcW w:w="968"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对危险化学品经营企业的监督检查</w:t>
            </w:r>
          </w:p>
        </w:tc>
        <w:tc>
          <w:tcPr>
            <w:tcW w:w="715"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689"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675"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4"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700" w:type="dxa"/>
            <w:vMerge w:val="restart"/>
            <w:tcBorders>
              <w:top w:val="nil"/>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《中华人民共和国安全生产法》《危险化学品安全管理条例》（国务院令第591号）《危险化学品经营许可证管理办法》（原国家安全监管总局令第55号）</w:t>
            </w:r>
          </w:p>
        </w:tc>
        <w:tc>
          <w:tcPr>
            <w:tcW w:w="622" w:type="dxa"/>
            <w:vMerge w:val="restart"/>
            <w:tcBorders>
              <w:top w:val="single" w:color="auto" w:sz="4" w:space="0"/>
              <w:left w:val="nil"/>
              <w:bottom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商务局</w:t>
            </w:r>
          </w:p>
        </w:tc>
        <w:tc>
          <w:tcPr>
            <w:tcW w:w="825" w:type="dxa"/>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065" w:type="dxa"/>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3388" w:type="dxa"/>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874" w:hRule="atLeast"/>
          <w:jc w:val="center"/>
        </w:trPr>
        <w:tc>
          <w:tcPr>
            <w:tcW w:w="627" w:type="dxa"/>
            <w:vMerge w:val="continue"/>
            <w:tcBorders>
              <w:left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3"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72"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68"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15"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89"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5"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4"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700" w:type="dxa"/>
            <w:vMerge w:val="continue"/>
            <w:tcBorders>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22" w:type="dxa"/>
            <w:vMerge w:val="continue"/>
            <w:tcBorders>
              <w:top w:val="nil"/>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25" w:type="dxa"/>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成品油市场检查</w:t>
            </w:r>
          </w:p>
        </w:tc>
        <w:tc>
          <w:tcPr>
            <w:tcW w:w="1065" w:type="dxa"/>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成品油市场检查</w:t>
            </w:r>
          </w:p>
        </w:tc>
        <w:tc>
          <w:tcPr>
            <w:tcW w:w="3388" w:type="dxa"/>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河南省商务厅关于做好近期成品油市场管理工作的通知</w:t>
            </w:r>
          </w:p>
        </w:tc>
      </w:tr>
      <w:tr>
        <w:tblPrEx>
          <w:tblCellMar>
            <w:top w:w="0" w:type="dxa"/>
            <w:left w:w="108" w:type="dxa"/>
            <w:bottom w:w="0" w:type="dxa"/>
            <w:right w:w="108" w:type="dxa"/>
          </w:tblCellMar>
        </w:tblPrEx>
        <w:trPr>
          <w:trHeight w:val="2250" w:hRule="atLeast"/>
          <w:jc w:val="center"/>
        </w:trPr>
        <w:tc>
          <w:tcPr>
            <w:tcW w:w="627" w:type="dxa"/>
            <w:vMerge w:val="continue"/>
            <w:tcBorders>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3"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72"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68"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15"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89"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5"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4"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70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2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气象局</w:t>
            </w:r>
          </w:p>
        </w:tc>
        <w:tc>
          <w:tcPr>
            <w:tcW w:w="82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对雷电灾害防御活动的执法检查</w:t>
            </w:r>
          </w:p>
        </w:tc>
        <w:tc>
          <w:tcPr>
            <w:tcW w:w="106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对雷电灾害防御活动的执法检查</w:t>
            </w:r>
          </w:p>
        </w:tc>
        <w:tc>
          <w:tcPr>
            <w:tcW w:w="3388"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1.《中华人民共和国气象法》第三十一条；2.《防雷装置设计审核和竣工验收规定》（中国气象局令第21号）</w:t>
            </w:r>
          </w:p>
          <w:p>
            <w:pPr>
              <w:jc w:val="left"/>
              <w:rPr>
                <w:rFonts w:hint="eastAsia" w:ascii="仿宋_GB2312" w:hAnsi="宋体" w:eastAsia="仿宋_GB2312" w:cs="仿宋_GB2312"/>
                <w:i w:val="0"/>
                <w:iCs w:val="0"/>
                <w:color w:val="000000"/>
                <w:kern w:val="0"/>
                <w:sz w:val="22"/>
                <w:szCs w:val="22"/>
                <w:u w:val="none"/>
                <w:lang w:val="en-US" w:eastAsia="zh-CN" w:bidi="ar"/>
              </w:rPr>
            </w:pPr>
          </w:p>
        </w:tc>
      </w:tr>
    </w:tbl>
    <w:tbl>
      <w:tblPr>
        <w:tblStyle w:val="5"/>
        <w:tblW w:w="14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20"/>
        <w:gridCol w:w="945"/>
        <w:gridCol w:w="930"/>
        <w:gridCol w:w="780"/>
        <w:gridCol w:w="735"/>
        <w:gridCol w:w="660"/>
        <w:gridCol w:w="735"/>
        <w:gridCol w:w="2679"/>
        <w:gridCol w:w="11"/>
        <w:gridCol w:w="666"/>
        <w:gridCol w:w="10"/>
        <w:gridCol w:w="809"/>
        <w:gridCol w:w="1016"/>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环境保护局</w:t>
            </w:r>
          </w:p>
        </w:tc>
        <w:tc>
          <w:tcPr>
            <w:tcW w:w="94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废气污染源现场监察</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废气污染源现场监察检查</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排污单位</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6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267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《中华人民共和国大气污染防治法》（2015年8月29日第十二届全国人大代表常务委员会第十六次会议第二次修订，自2016年1月1日起施行）第29条  。</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《环境监察办法》（2012年7月25日环境保护部令第21号公布，2012年9月1日起施行）第四条第三款。</w:t>
            </w:r>
          </w:p>
        </w:tc>
        <w:tc>
          <w:tcPr>
            <w:tcW w:w="677"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局</w:t>
            </w:r>
          </w:p>
        </w:tc>
        <w:tc>
          <w:tcPr>
            <w:tcW w:w="819"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对随意倾倒、抛撒或者堆放生活垃圾、擅自关闭、闲置或者拆除生活垃圾处置设施、场所的监督检查</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对随意倾倒、抛撒或者堆放生活垃圾、擅自关闭、闲置或者拆除生活垃圾处置设施、场所的监督检查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《中华人民共和国固体废物污染环境防治法》（2015年修改）第七十四条； </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《城市生活垃圾管理办法》（2007年建设部令157号）第四十一条、第四十二条。</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68" w:hRule="atLeast"/>
          <w:jc w:val="center"/>
        </w:trPr>
        <w:tc>
          <w:tcPr>
            <w:tcW w:w="611"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交</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通</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局</w:t>
            </w:r>
          </w:p>
        </w:tc>
        <w:tc>
          <w:tcPr>
            <w:tcW w:w="94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道路货物运输经营许可的监督检查</w:t>
            </w:r>
          </w:p>
        </w:tc>
        <w:tc>
          <w:tcPr>
            <w:tcW w:w="9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道路货物运输经营许可的监督检查</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道路（危险）货物运输经营企业</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6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2690"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《安全生产法》第九条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《道路危险货物运输管理规定》第五十三条；《放射性物品道路运输管理规定》第十六条、第十七条；《道路货物运输及站场管理规定》第四十七条、第四十八条</w:t>
            </w: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公示信息检查</w:t>
            </w:r>
            <w:r>
              <w:rPr>
                <w:rFonts w:hint="eastAsia" w:ascii="仿宋_GB2312" w:hAnsi="宋体" w:eastAsia="仿宋_GB2312" w:cs="仿宋_GB2312"/>
                <w:i w:val="0"/>
                <w:iCs w:val="0"/>
                <w:color w:val="000000"/>
                <w:kern w:val="0"/>
                <w:sz w:val="22"/>
                <w:szCs w:val="22"/>
                <w:u w:val="none"/>
                <w:lang w:val="en-US" w:eastAsia="zh-CN" w:bidi="ar"/>
              </w:rPr>
              <w:t>、登记事项监督检查</w:t>
            </w:r>
          </w:p>
        </w:tc>
        <w:tc>
          <w:tcPr>
            <w:tcW w:w="1016"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r>
              <w:rPr>
                <w:rFonts w:hint="default" w:ascii="仿宋_GB2312" w:hAnsi="宋体" w:eastAsia="仿宋_GB2312" w:cs="仿宋_GB2312"/>
                <w:i w:val="0"/>
                <w:iCs w:val="0"/>
                <w:color w:val="000000"/>
                <w:kern w:val="0"/>
                <w:sz w:val="22"/>
                <w:szCs w:val="22"/>
                <w:u w:val="none"/>
                <w:lang w:val="en-US" w:eastAsia="zh-CN" w:bidi="ar"/>
              </w:rPr>
              <w:t>年度报告公示信息的检查</w:t>
            </w:r>
            <w:r>
              <w:rPr>
                <w:rFonts w:hint="eastAsia" w:ascii="仿宋_GB2312" w:hAnsi="宋体" w:eastAsia="仿宋_GB2312" w:cs="仿宋_GB2312"/>
                <w:i w:val="0"/>
                <w:iCs w:val="0"/>
                <w:color w:val="000000"/>
                <w:kern w:val="0"/>
                <w:sz w:val="22"/>
                <w:szCs w:val="22"/>
                <w:u w:val="none"/>
                <w:lang w:val="en-US" w:eastAsia="zh-CN" w:bidi="ar"/>
              </w:rPr>
              <w:t>。2、</w:t>
            </w:r>
            <w:r>
              <w:rPr>
                <w:rFonts w:hint="default" w:ascii="仿宋_GB2312" w:hAnsi="宋体" w:eastAsia="仿宋_GB2312" w:cs="仿宋_GB2312"/>
                <w:i w:val="0"/>
                <w:iCs w:val="0"/>
                <w:color w:val="000000"/>
                <w:kern w:val="0"/>
                <w:sz w:val="22"/>
                <w:szCs w:val="22"/>
                <w:u w:val="none"/>
                <w:lang w:val="en-US" w:eastAsia="zh-CN" w:bidi="ar"/>
              </w:rPr>
              <w:t>即时公示信息的检查</w:t>
            </w:r>
            <w:r>
              <w:rPr>
                <w:rFonts w:hint="eastAsia" w:ascii="仿宋_GB2312" w:hAnsi="宋体" w:eastAsia="仿宋_GB2312" w:cs="仿宋_GB2312"/>
                <w:i w:val="0"/>
                <w:iCs w:val="0"/>
                <w:color w:val="000000"/>
                <w:kern w:val="0"/>
                <w:sz w:val="22"/>
                <w:szCs w:val="22"/>
                <w:u w:val="none"/>
                <w:lang w:val="en-US" w:eastAsia="zh-CN" w:bidi="ar"/>
              </w:rPr>
              <w:t>；3、登记事项监督检查</w:t>
            </w:r>
          </w:p>
        </w:tc>
        <w:tc>
          <w:tcPr>
            <w:tcW w:w="339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《企业信息公示暂行条例》</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《企业公示信息抽查暂行办法</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《企业经营异常名录管理暂行办法》</w:t>
            </w:r>
            <w:r>
              <w:rPr>
                <w:rFonts w:hint="eastAsia" w:ascii="仿宋_GB2312" w:hAnsi="宋体" w:eastAsia="仿宋_GB2312" w:cs="仿宋_GB2312"/>
                <w:i w:val="0"/>
                <w:iCs w:val="0"/>
                <w:color w:val="000000"/>
                <w:kern w:val="0"/>
                <w:sz w:val="22"/>
                <w:szCs w:val="22"/>
                <w:u w:val="none"/>
                <w:lang w:val="en-US" w:eastAsia="zh-CN" w:bidi="ar"/>
              </w:rPr>
              <w:t>、《公司法》、</w:t>
            </w:r>
            <w:bookmarkStart w:id="0" w:name="_GoBack"/>
            <w:bookmarkEnd w:id="0"/>
            <w:r>
              <w:rPr>
                <w:rFonts w:hint="eastAsia" w:ascii="仿宋_GB2312" w:hAnsi="宋体" w:eastAsia="仿宋_GB2312" w:cs="仿宋_GB2312"/>
                <w:i w:val="0"/>
                <w:iCs w:val="0"/>
                <w:color w:val="000000"/>
                <w:kern w:val="0"/>
                <w:sz w:val="22"/>
                <w:szCs w:val="22"/>
                <w:u w:val="none"/>
                <w:lang w:val="en-US" w:eastAsia="zh-CN" w:bidi="ar"/>
              </w:rPr>
              <w:t>《中华人民共和国市场主体登记管理条例》</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611"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w:t>
            </w:r>
          </w:p>
        </w:tc>
        <w:tc>
          <w:tcPr>
            <w:tcW w:w="72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教</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体</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局</w:t>
            </w:r>
          </w:p>
        </w:tc>
        <w:tc>
          <w:tcPr>
            <w:tcW w:w="94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学校综治安全工作管理督查</w:t>
            </w:r>
          </w:p>
        </w:tc>
        <w:tc>
          <w:tcPr>
            <w:tcW w:w="93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安全工作制度是否建立和落实；学校人防、物防、技防建设是否到位；学校校舍、场地以及其他教育教学设施安全是否存在隐患；学校安全教育计划制定情况及安全教育开展是否正常；17.学校应急疏散演练是否到位；学校安全管理是否到位；学生发生伤害事故、学校采取救护措施是否得当；</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w:t>
            </w:r>
          </w:p>
        </w:tc>
        <w:tc>
          <w:tcPr>
            <w:tcW w:w="78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校</w:t>
            </w: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重点检查事项 </w:t>
            </w:r>
          </w:p>
        </w:tc>
        <w:tc>
          <w:tcPr>
            <w:tcW w:w="66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2690" w:type="dxa"/>
            <w:gridSpan w:val="2"/>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1、《学校食堂与学生集体用餐卫生管理规定》第三条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2、《中小学幼儿园安全管理办法》（2006年教育部令第23号） 第七条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3、《特殊教育学校暂行规程》第八条  </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1、餐饮服务监督检查。2、</w:t>
            </w:r>
            <w:r>
              <w:rPr>
                <w:rFonts w:hint="default" w:ascii="仿宋_GB2312" w:hAnsi="宋体" w:eastAsia="仿宋_GB2312" w:cs="仿宋_GB2312"/>
                <w:i w:val="0"/>
                <w:iCs w:val="0"/>
                <w:color w:val="000000"/>
                <w:kern w:val="0"/>
                <w:sz w:val="22"/>
                <w:szCs w:val="22"/>
                <w:u w:val="none"/>
                <w:lang w:val="en-US" w:eastAsia="zh-CN" w:bidi="ar"/>
              </w:rPr>
              <w:t>对食盐质量安全的监督管理</w:t>
            </w:r>
            <w:r>
              <w:rPr>
                <w:rFonts w:hint="eastAsia" w:ascii="仿宋_GB2312" w:hAnsi="宋体" w:eastAsia="仿宋_GB2312" w:cs="仿宋_GB2312"/>
                <w:i w:val="0"/>
                <w:iCs w:val="0"/>
                <w:color w:val="000000"/>
                <w:kern w:val="0"/>
                <w:sz w:val="22"/>
                <w:szCs w:val="22"/>
                <w:u w:val="none"/>
                <w:lang w:val="en-US" w:eastAsia="zh-CN" w:bidi="ar"/>
              </w:rPr>
              <w:t>。</w:t>
            </w: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016"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1、餐饮服务经营者情况的检查。2、</w:t>
            </w:r>
            <w:r>
              <w:rPr>
                <w:rFonts w:hint="default" w:ascii="仿宋_GB2312" w:hAnsi="宋体" w:eastAsia="仿宋_GB2312" w:cs="仿宋_GB2312"/>
                <w:i w:val="0"/>
                <w:iCs w:val="0"/>
                <w:color w:val="000000"/>
                <w:kern w:val="0"/>
                <w:sz w:val="22"/>
                <w:szCs w:val="22"/>
                <w:u w:val="none"/>
                <w:lang w:val="en-US" w:eastAsia="zh-CN" w:bidi="ar"/>
              </w:rPr>
              <w:t>对食盐质量安全的监督管理</w:t>
            </w:r>
            <w:r>
              <w:rPr>
                <w:rFonts w:hint="eastAsia" w:ascii="仿宋_GB2312" w:hAnsi="宋体" w:eastAsia="仿宋_GB2312" w:cs="仿宋_GB2312"/>
                <w:i w:val="0"/>
                <w:iCs w:val="0"/>
                <w:color w:val="000000"/>
                <w:kern w:val="0"/>
                <w:sz w:val="22"/>
                <w:szCs w:val="22"/>
                <w:u w:val="none"/>
                <w:lang w:val="en-US" w:eastAsia="zh-CN" w:bidi="ar"/>
              </w:rPr>
              <w:t>。</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《中华人民共和国食品安全法》第三十三条、第三十四条、第五十七条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《食品生产经营日常监督检查管理办法》第二条、第四条、第五条、第十条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《食盐质量安全监督管理办法》</w:t>
            </w:r>
            <w:r>
              <w:rPr>
                <w:rFonts w:hint="eastAsia" w:ascii="仿宋_GB2312" w:hAnsi="宋体" w:eastAsia="仿宋_GB2312" w:cs="仿宋_GB2312"/>
                <w:i w:val="0"/>
                <w:iCs w:val="0"/>
                <w:color w:val="000000"/>
                <w:kern w:val="0"/>
                <w:sz w:val="22"/>
                <w:szCs w:val="22"/>
                <w:u w:val="none"/>
                <w:lang w:val="en-US" w:eastAsia="zh-CN" w:bidi="ar"/>
              </w:rPr>
              <w:t>第六条、第八条、第九条</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卫健委</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对学校的卫生监督检查</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1、抽查学校教学和生活环境、传染病防控、学校饮用水以及学校内游泳场所的卫生管理情况，抽查教室采光照明、人均面积和水质。2、加强学校新冠肺炎疫情常态化防控措施落实情况监督检查。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《学校卫生工作条例》，《托儿所幼儿园卫生保健管理办法》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611"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2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自然资源局</w:t>
            </w:r>
          </w:p>
        </w:tc>
        <w:tc>
          <w:tcPr>
            <w:tcW w:w="94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对土地利用情况的监督检查</w:t>
            </w:r>
          </w:p>
        </w:tc>
        <w:tc>
          <w:tcPr>
            <w:tcW w:w="93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对土地利用情况的监督检查</w:t>
            </w:r>
          </w:p>
        </w:tc>
        <w:tc>
          <w:tcPr>
            <w:tcW w:w="78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用地企业、个人</w:t>
            </w: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66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2690" w:type="dxa"/>
            <w:gridSpan w:val="2"/>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《中华人民共和国土地管理法》第六十六条</w:t>
            </w: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住建局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建筑市场行为监督检查</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建筑市场行为监督检查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1、《中华人民共和国建筑法》；</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2、《中华人民共和国招标投标法》；</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3、《中华人民共和国招标投标法实施条例》；</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4、《房地产开发企业资质管理规定》；</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5、《建筑工程施工许可管理办法》；</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人防办</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对人防工程维护管理的监督</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对人防工程维护管理的行政检查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《中华人民共和国人民防空法》（1996年10月29日全国人大常委会通过）第二十五条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对危害人民防空工程的安全和使用效能的监管</w:t>
            </w: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对违反国家规定，拆除人民防空工程设备设施的行政检查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对人防工程施工单位履行质量责任和义务的监管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1、对人防工程施工单位有不按照工程设计图纸或者施工技术标准施工的其他行为的行政检查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2、对人防工程施工单位未对涉及结构安全的试块、试件以及有关材料取样检测的行政检查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3、对人防工程施工单位在施工中偷工减料、使用不合格的建筑材料、建筑构配件和设备等的行政检查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4、对人防工程施工单位未对建筑材料、建筑构配件、设备和商品混凝土进行检验的行政检查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5、对施工单位不履行人防工程保修义务或者拖延履行保修义务的处行政检查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对向人民防空工程内排入废水、废气或者倾倒废弃物的行政检查</w:t>
            </w:r>
          </w:p>
        </w:tc>
        <w:tc>
          <w:tcPr>
            <w:tcW w:w="3398" w:type="dxa"/>
            <w:vAlign w:val="top"/>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对人防工程施工单位履行质量责任和义务的监管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1、对人防工程施工单位有不按照工程设计图纸或者施工技术标准施工的其他行为的行政检查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2、对人防工程施工单位未对涉及结构安全的试块、试件以及有关材料取样检测的行政检查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3、对人防工程施工单位在施工中偷工减料、使用不合格的建筑材料、建筑构配件和设备等的行政检查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4、对人防工程施工单位未对建筑材料、建筑构配件、设备和商品混凝土进行检验的行政检查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5、对施工单位不履行人防工程保修义务或者拖延履行保修义务的处行政检查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《建设工程质量管理条例》</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《河南省人民防空工程管理办法》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对不建防空地下室的监管</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对不建防空地下室的行政检查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《中华人民共和国人民防空法》</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《河南省实施&lt;中华人民共和国人民防空法&gt;办法》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发改委</w:t>
            </w:r>
          </w:p>
        </w:tc>
        <w:tc>
          <w:tcPr>
            <w:tcW w:w="94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对企业投资项目核准和备案的监管</w:t>
            </w:r>
          </w:p>
        </w:tc>
        <w:tc>
          <w:tcPr>
            <w:tcW w:w="9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对企业投资项目核准和备案的监督检查</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6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部门</w:t>
            </w:r>
          </w:p>
        </w:tc>
        <w:tc>
          <w:tcPr>
            <w:tcW w:w="2690"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1.《企业投资项目核准和备案管理条例》（国务院令第673号）</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第十六条  核准机关、备案机关以及依法对项目负有监督管理职责的其他有关部门应当加强事中事后监管，按照谁审批谁监管、谁主管谁监管的原则，落实监管责任，采取在线监测、现场核查等方式，加强对项目实施的监督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企业应当通过在线平台如实报送项目开工建设、建设进度、竣工的基本信息。</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2.《企业投资项目核准和备案管理办法 》（国家发展改革委令2017年第2号）</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第四十六条  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第四十七条  各级地方政府有关部门应按照相关法律法规及职责分工，加强对本行政区域内项目的监督检查，发现违法违规行为的，应当依法予以处理，并通过在线平台登记相关违法违规信息。</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第五十条 项目单位应当通过在线平台如实报送项目开工建设、建设进度、竣工的基本信息。</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项目开工前，项目单位应当登录在线平台报备项目开工基本信息。项目开工后，项目单位应当按年度在线报备项目建设动态进度基本信息。项目竣工验收后，项目单位应当在线报备项目竣工基本信息。</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第五十一条 项目单位有下列行为之一的，相关信息列入项目异常信用记录，并纳入全国信用信息共享平台：</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（一）应申请办理项目核准但未依法取得核准文件的；</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（二）提供虚假项目核准或备案信息，或者未依法将项目信息告知备案机关，或者已备案项目信息变更未告知备案机关的；</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（三）违反法律法规擅自开工建设的；</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（四）不按照批准内容组织实施的；</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（五）项目单位未按本办法第五十条规定报送项目开工建设、建设进度、竣工等基本信息，或者报送虚假信息的；</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（六）其他违法违规行为。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3.《企业投资项目事中事后监管办法》（国家发展改革委令2018年第14号）</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第三条 项目事中事后监管是指各级发展改革部门对项目开工前是否依法取得核准批复文件或者办理备案手续，并在开工后是否按照核准批复文件或者备案内容进行建设的监督管理。</w:t>
            </w: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住建局</w:t>
            </w:r>
          </w:p>
        </w:tc>
        <w:tc>
          <w:tcPr>
            <w:tcW w:w="809"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房屋和市政基础设施工程质量监督检查。2、注册建筑师执业资格监管。3、对建筑业企业资质及房屋建筑和市政基础设施工程领域施工活动的监管。4、对建筑施工企业安全生产活动的监管。5、对建筑施工项目扬尘污染防治工作的监管。6、对建筑施工企业主要负责人、项目负责人、专职安全生产管理人员在房屋建筑和市政基础设施工程施工领域持证上岗、教育培训和履行安全职责情况的行政检查。7、对建设单位编制建设工程招标文件的监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1、房屋和市政基础设施工程质量监督检查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对一级注册建筑师注册、执业情况的行政检查；3、对二级注册建筑师注册、执业情况的行政检查。4、对总承包特级、一级、铁路二级及部分专业一级建筑业企业资质情况的行政检查。5、对建筑施工企业安全生产条件的行政检查。6、对建筑施工项目扬尘污染防治工作的监管。7、对房屋建筑、市政基础设施施工、城市规划区内道路建设工程施工及园林绿化施工等可能产生扬尘污染活动的施工现场未按照规定采取扬尘防治措施的行政检查8、对建筑施工企业主要负责人、项目负责人、专职安全生产管理人员在房屋建筑和市政基础设施工程施工领域持证上岗、教育培训和履行安全职责情况的行政检查。9、对建设单位编制建设工程招标文件的监管。</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1.《建设工程质量管理条例》；</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2.《房屋建筑和市政基础设施工程质量监督管理规定》；</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3.《实施工程建设强制性标准监督规定》；</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4.《建设工程质量检测管理办法》；</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5.《民用建筑节能管理规定》。</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中华人民共和国建筑法》第十四条；7、《建设工程勘察设计管理条例》第九条；8、《注册建筑师条例》第四条、第五条。9、《中华人民共和国建筑法》第十三条；10、《建设工程质量管理条例》第二十五条；11、《安全生产许可证条例》第二条。</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12、《河南省大气污染防治条例》</w:t>
            </w:r>
            <w:r>
              <w:rPr>
                <w:rFonts w:hint="default" w:ascii="仿宋_GB2312" w:hAnsi="宋体" w:eastAsia="仿宋_GB2312" w:cs="仿宋_GB2312"/>
                <w:i w:val="0"/>
                <w:iCs w:val="0"/>
                <w:color w:val="000000"/>
                <w:kern w:val="0"/>
                <w:sz w:val="22"/>
                <w:szCs w:val="22"/>
                <w:u w:val="none"/>
                <w:lang w:val="en-US" w:eastAsia="zh-CN" w:bidi="ar"/>
              </w:rPr>
              <w:t xml:space="preserve">    </w:t>
            </w:r>
            <w:r>
              <w:rPr>
                <w:rFonts w:hint="eastAsia" w:ascii="仿宋_GB2312" w:hAnsi="宋体" w:eastAsia="仿宋_GB2312" w:cs="仿宋_GB2312"/>
                <w:i w:val="0"/>
                <w:iCs w:val="0"/>
                <w:color w:val="000000"/>
                <w:kern w:val="0"/>
                <w:sz w:val="22"/>
                <w:szCs w:val="22"/>
                <w:u w:val="none"/>
                <w:lang w:val="en-US" w:eastAsia="zh-CN" w:bidi="ar"/>
              </w:rPr>
              <w:t>第四十八条；13、《安全生产法》第二十条；14、《建设工程安全生产管理条例》第三十六条；15、河南省实施《中华人民共和国招标投标法》办法第二十六条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611"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文广旅游局</w:t>
            </w:r>
          </w:p>
        </w:tc>
        <w:tc>
          <w:tcPr>
            <w:tcW w:w="94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对互联网上网服务营业场所经营单位从事互联网上网服务经营活动的行政检查</w:t>
            </w:r>
          </w:p>
        </w:tc>
        <w:tc>
          <w:tcPr>
            <w:tcW w:w="9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互联网上网服务营业场所经营单位从事互联网上网服务经营活动</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服务营业场所经营单位</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6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690"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互联网上网服务营业场所管理条例》第四条：“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公安局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经营性上网场所落实网络安全措施检查、互联网上网服务营业场所内上网消费者是否进行实名认证核实的检查</w:t>
            </w:r>
          </w:p>
        </w:tc>
        <w:tc>
          <w:tcPr>
            <w:tcW w:w="1016"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1、互联网上网服务营业场所是否从事非法活动的检查；2、互联网上网服务营业场所内上网消费者是否进行实名认证核实的检查。</w:t>
            </w:r>
          </w:p>
        </w:tc>
        <w:tc>
          <w:tcPr>
            <w:tcW w:w="3398"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1.《互联网上网服务营业场所管理条例》第十四条、十五条、十六条、第十七条、第十八条、第十九条；2、《互联网上网服务营业场所管理条例》第二十一条、第二十三条。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8" w:hRule="atLeast"/>
          <w:jc w:val="center"/>
        </w:trPr>
        <w:tc>
          <w:tcPr>
            <w:tcW w:w="611"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农村农业局</w:t>
            </w:r>
          </w:p>
        </w:tc>
        <w:tc>
          <w:tcPr>
            <w:tcW w:w="94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对农作物种子（含草种）生产、经营、质量的监督检查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对农作物种子（含草种）生产、经营、质量的监督检查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农作物种子生产、经营者</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6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690"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《中华人民共和国种子法》第五十条</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　　《农作物种子质量监督抽查管理办法》第二条</w:t>
            </w: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登记事项检查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住所（经营场所）或驻在场所的检查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法人登记管理条例》第二十九条第一款《公司法》第二百一十一条第二款《公司登记管理条例》第六十八条《合伙企业法》第九十五条第二款《个人独资企业法》第三十七条第二款《合伙企业登记管理办法》第三十九条《外商投资合伙企业登记管理规定》第五十三条《个人独资企业登记管理办法》第三十八条《个体工商户条例》第二十三条第一款《农民专业合作社登记管理条例》第二十七条、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11"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w:t>
            </w:r>
          </w:p>
        </w:tc>
        <w:tc>
          <w:tcPr>
            <w:tcW w:w="72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水利局</w:t>
            </w:r>
          </w:p>
        </w:tc>
        <w:tc>
          <w:tcPr>
            <w:tcW w:w="94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对用水单位或个人节约用水行为的监管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对节约用水的行政检查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66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7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690" w:type="dxa"/>
            <w:gridSpan w:val="2"/>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《河南省节约用水管理条例》（河南省人民代表大会常务委员 会公告第 14 号）第五条：“县级 以上人民政府水行政主管部门负 责组织、管理和监督本行政区域内 的节约用水工作。其他有关部门按 照职责分工，负责有关的节约用水 工作。”</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内乡县税务局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依法纳税情况的检查</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依法检查纳税人、扣缴义务人和其他涉税当事人履行纳税义务、扣缴税款义务情况及其他税法遵从情况。</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税收征收管理法》第四章第五十四条、第五十五条、第五十六条、第五十七条、第五十八条；《中华人民共和国税收征收管理法实施细则》第六章第八十五条、第八十六条、第八十七条、第八十八条、第八十九条。</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11"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90" w:type="dxa"/>
            <w:gridSpan w:val="2"/>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6" w:type="dxa"/>
            <w:gridSpan w:val="2"/>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财政局</w:t>
            </w:r>
          </w:p>
        </w:tc>
        <w:tc>
          <w:tcPr>
            <w:tcW w:w="80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会计检查</w:t>
            </w:r>
          </w:p>
        </w:tc>
        <w:tc>
          <w:tcPr>
            <w:tcW w:w="1016"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各单位执行《会计法》、《会计师事务所审批和监督暂行办法》等相关会计管理规定的情况行政检查</w:t>
            </w:r>
          </w:p>
        </w:tc>
        <w:tc>
          <w:tcPr>
            <w:tcW w:w="3398"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1.《会计法》第三十一条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2.《注册会计师法》第五条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3.《财政部门监督办法》（财政部令第69号）第十六条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4.《会计师事务所审批和监督暂行办法》（财政部令第24号）第四十三条</w:t>
            </w:r>
          </w:p>
        </w:tc>
      </w:tr>
    </w:tbl>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bl>
      <w:tblPr>
        <w:tblStyle w:val="4"/>
        <w:tblW w:w="14504" w:type="dxa"/>
        <w:jc w:val="center"/>
        <w:tblLayout w:type="fixed"/>
        <w:tblCellMar>
          <w:top w:w="0" w:type="dxa"/>
          <w:left w:w="108" w:type="dxa"/>
          <w:bottom w:w="0" w:type="dxa"/>
          <w:right w:w="108" w:type="dxa"/>
        </w:tblCellMar>
      </w:tblPr>
      <w:tblGrid>
        <w:gridCol w:w="557"/>
        <w:gridCol w:w="425"/>
        <w:gridCol w:w="709"/>
        <w:gridCol w:w="2693"/>
        <w:gridCol w:w="709"/>
        <w:gridCol w:w="567"/>
        <w:gridCol w:w="425"/>
        <w:gridCol w:w="425"/>
        <w:gridCol w:w="2127"/>
        <w:gridCol w:w="708"/>
        <w:gridCol w:w="709"/>
        <w:gridCol w:w="1559"/>
        <w:gridCol w:w="2891"/>
      </w:tblGrid>
      <w:tr>
        <w:tblPrEx>
          <w:tblCellMar>
            <w:top w:w="0" w:type="dxa"/>
            <w:left w:w="108" w:type="dxa"/>
            <w:bottom w:w="0" w:type="dxa"/>
            <w:right w:w="108" w:type="dxa"/>
          </w:tblCellMar>
        </w:tblPrEx>
        <w:trPr>
          <w:trHeight w:val="3396" w:hRule="atLeast"/>
          <w:jc w:val="center"/>
        </w:trPr>
        <w:tc>
          <w:tcPr>
            <w:tcW w:w="55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42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林业局</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野生动物经营利用检查监管</w:t>
            </w:r>
          </w:p>
        </w:tc>
        <w:tc>
          <w:tcPr>
            <w:tcW w:w="2693"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野生动物及其产品经营的监督检查</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56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42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42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127"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《中华人民共和国陆生野生动物保护实施条例》（2011年国务院令588号）第二十八条 </w:t>
            </w:r>
          </w:p>
        </w:tc>
        <w:tc>
          <w:tcPr>
            <w:tcW w:w="708"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督</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理</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局</w:t>
            </w: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对野生动植物非法交易相关行为的监管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5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对网络交易平台、商品交易市场等交易场所为违法出售、购买、利用野生动物及其制品或者禁止使用的猎捕工具提供交易服务行为的行政检查。</w:t>
            </w:r>
          </w:p>
        </w:tc>
        <w:tc>
          <w:tcPr>
            <w:tcW w:w="289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《中华人民共和国野生动物保护法》 第三十二条 </w:t>
            </w:r>
          </w:p>
          <w:p>
            <w:pPr>
              <w:jc w:val="left"/>
              <w:rPr>
                <w:rFonts w:hint="eastAsia" w:ascii="仿宋_GB2312" w:hAnsi="宋体" w:eastAsia="仿宋_GB2312" w:cs="仿宋_GB2312"/>
                <w:i w:val="0"/>
                <w:iCs w:val="0"/>
                <w:color w:val="000000"/>
                <w:kern w:val="0"/>
                <w:sz w:val="22"/>
                <w:szCs w:val="22"/>
                <w:u w:val="none"/>
                <w:lang w:val="en-US" w:eastAsia="zh-CN" w:bidi="ar"/>
              </w:rPr>
            </w:pPr>
          </w:p>
        </w:tc>
      </w:tr>
    </w:tbl>
    <w:tbl>
      <w:tblPr>
        <w:tblStyle w:val="5"/>
        <w:tblW w:w="14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20"/>
        <w:gridCol w:w="750"/>
        <w:gridCol w:w="2670"/>
        <w:gridCol w:w="720"/>
        <w:gridCol w:w="570"/>
        <w:gridCol w:w="435"/>
        <w:gridCol w:w="375"/>
        <w:gridCol w:w="2160"/>
        <w:gridCol w:w="675"/>
        <w:gridCol w:w="780"/>
        <w:gridCol w:w="1530"/>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1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w:t>
            </w:r>
          </w:p>
        </w:tc>
        <w:tc>
          <w:tcPr>
            <w:tcW w:w="4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卫健委</w:t>
            </w:r>
          </w:p>
        </w:tc>
        <w:tc>
          <w:tcPr>
            <w:tcW w:w="75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对公共场所的监督</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7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未按照规定对空气、微小气候，顾客用品等进行卫生检测；对未按照规定对顾客用具用品进行消毒或重复使用一次性用品；对未按照规定设立卫生管理制度、专职人员，未建立卫生档案等；安排未取得健康证明人员从事直接为顾客服务等，以及未在公共场所内放置安全套等；发生危害健康的事故未立即采取措施，导致事件扩大，或者隐瞒；</w:t>
            </w:r>
          </w:p>
        </w:tc>
        <w:tc>
          <w:tcPr>
            <w:tcW w:w="72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57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43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37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16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《公共场所卫生管理条例实施细则》，《艾滋病防治条例》第六十一条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人社局</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对用人单位遵守劳动用工和社会保障法律、法规情况的监管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对用人单位遵守劳动用工和社会保障法律、法规情况的行政检查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81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《劳动保障监察条例》（国务院令第423号）第三条第一款、第六条；《中华人民共和国社会保险法》第八十四条。</w:t>
            </w:r>
          </w:p>
          <w:p>
            <w:pPr>
              <w:jc w:val="left"/>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51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w:t>
            </w:r>
          </w:p>
        </w:tc>
        <w:tc>
          <w:tcPr>
            <w:tcW w:w="42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75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计量监督检查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7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计量单位使用情况专项监督检查</w:t>
            </w:r>
          </w:p>
        </w:tc>
        <w:tc>
          <w:tcPr>
            <w:tcW w:w="72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57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43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375"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2160" w:type="dxa"/>
            <w:vMerge w:val="restart"/>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计量法》第十八条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《全面推行我国法定计量单位的意见》</w:t>
            </w:r>
          </w:p>
        </w:tc>
        <w:tc>
          <w:tcPr>
            <w:tcW w:w="67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粮食局</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粮食收购资格认定</w:t>
            </w: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3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粮食收购资格核查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81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《粮食流通监督检查暂行办法》第七条第一款：粮食收购者是否具备粮食收购资格，在其从事的粮食收购活动中是否执行了国家有关法律、法规、规章及粮食收购政策。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1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4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5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67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2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57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43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375"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160" w:type="dxa"/>
            <w:vMerge w:val="continue"/>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75"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统计局</w:t>
            </w:r>
          </w:p>
        </w:tc>
        <w:tc>
          <w:tcPr>
            <w:tcW w:w="780"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四上企业统计监督检查</w:t>
            </w:r>
          </w:p>
        </w:tc>
        <w:tc>
          <w:tcPr>
            <w:tcW w:w="1530" w:type="dxa"/>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r>
              <w:rPr>
                <w:rFonts w:hint="default" w:ascii="仿宋_GB2312" w:hAnsi="宋体" w:eastAsia="仿宋_GB2312" w:cs="仿宋_GB2312"/>
                <w:i w:val="0"/>
                <w:iCs w:val="0"/>
                <w:color w:val="000000"/>
                <w:kern w:val="0"/>
                <w:sz w:val="22"/>
                <w:szCs w:val="22"/>
                <w:u w:val="none"/>
                <w:lang w:val="en-US" w:eastAsia="zh-CN" w:bidi="ar"/>
              </w:rPr>
              <w:t>依法为履行法定填报职责提供保障情况</w:t>
            </w:r>
            <w:r>
              <w:rPr>
                <w:rFonts w:hint="eastAsia" w:ascii="仿宋_GB2312" w:hAnsi="宋体" w:eastAsia="仿宋_GB2312" w:cs="仿宋_GB2312"/>
                <w:i w:val="0"/>
                <w:iCs w:val="0"/>
                <w:color w:val="000000"/>
                <w:kern w:val="0"/>
                <w:sz w:val="22"/>
                <w:szCs w:val="22"/>
                <w:u w:val="none"/>
                <w:lang w:val="en-US" w:eastAsia="zh-CN" w:bidi="ar"/>
              </w:rPr>
              <w:t>的行政检查；2、规模以上企业统计台账的行政检查；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3、依法配合统计调查和统计监督情况的行政检查。</w:t>
            </w:r>
          </w:p>
        </w:tc>
        <w:tc>
          <w:tcPr>
            <w:tcW w:w="2819" w:type="dxa"/>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《中华人民共和国统计法》、《中华人民共和国统计法实施条例》</w:t>
            </w:r>
          </w:p>
        </w:tc>
      </w:tr>
    </w:tbl>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tbl>
      <w:tblPr>
        <w:tblStyle w:val="4"/>
        <w:tblW w:w="14242" w:type="dxa"/>
        <w:jc w:val="center"/>
        <w:tblLayout w:type="fixed"/>
        <w:tblCellMar>
          <w:top w:w="0" w:type="dxa"/>
          <w:left w:w="108" w:type="dxa"/>
          <w:bottom w:w="0" w:type="dxa"/>
          <w:right w:w="108" w:type="dxa"/>
        </w:tblCellMar>
      </w:tblPr>
      <w:tblGrid>
        <w:gridCol w:w="474"/>
        <w:gridCol w:w="660"/>
        <w:gridCol w:w="993"/>
        <w:gridCol w:w="1282"/>
        <w:gridCol w:w="780"/>
        <w:gridCol w:w="810"/>
        <w:gridCol w:w="990"/>
        <w:gridCol w:w="1230"/>
        <w:gridCol w:w="1570"/>
        <w:gridCol w:w="709"/>
        <w:gridCol w:w="708"/>
        <w:gridCol w:w="1843"/>
        <w:gridCol w:w="2193"/>
      </w:tblGrid>
      <w:tr>
        <w:tblPrEx>
          <w:tblCellMar>
            <w:top w:w="0" w:type="dxa"/>
            <w:left w:w="108" w:type="dxa"/>
            <w:bottom w:w="0" w:type="dxa"/>
            <w:right w:w="108" w:type="dxa"/>
          </w:tblCellMar>
        </w:tblPrEx>
        <w:trPr>
          <w:trHeight w:val="9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w:t>
            </w:r>
          </w:p>
        </w:tc>
        <w:tc>
          <w:tcPr>
            <w:tcW w:w="66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畜</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牧</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局</w:t>
            </w:r>
          </w:p>
        </w:tc>
        <w:tc>
          <w:tcPr>
            <w:tcW w:w="993"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动物卫生监督检查</w:t>
            </w:r>
          </w:p>
        </w:tc>
        <w:tc>
          <w:tcPr>
            <w:tcW w:w="128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对动物饲养、屠宰、经营、隔离、运输以及动物产品生产、经营、加工、贮藏、运输等活动中的动物防疫实施监督管理</w:t>
            </w:r>
          </w:p>
        </w:tc>
        <w:tc>
          <w:tcPr>
            <w:tcW w:w="78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81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99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23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157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生猪屠宰管理条例》</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708"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食用农产品市场销售质量安全检查</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r>
              <w:rPr>
                <w:rFonts w:hint="default" w:ascii="仿宋_GB2312" w:hAnsi="宋体" w:eastAsia="仿宋_GB2312" w:cs="仿宋_GB2312"/>
                <w:i w:val="0"/>
                <w:iCs w:val="0"/>
                <w:color w:val="000000"/>
                <w:kern w:val="0"/>
                <w:sz w:val="22"/>
                <w:szCs w:val="22"/>
                <w:u w:val="none"/>
                <w:lang w:val="en-US" w:eastAsia="zh-CN" w:bidi="ar"/>
              </w:rPr>
              <w:t>食用农产品集中交易市场监督检查</w:t>
            </w:r>
            <w:r>
              <w:rPr>
                <w:rFonts w:hint="eastAsia" w:ascii="仿宋_GB2312" w:hAnsi="宋体" w:eastAsia="仿宋_GB2312" w:cs="仿宋_GB2312"/>
                <w:i w:val="0"/>
                <w:iCs w:val="0"/>
                <w:color w:val="000000"/>
                <w:kern w:val="0"/>
                <w:sz w:val="22"/>
                <w:szCs w:val="22"/>
                <w:u w:val="none"/>
                <w:lang w:val="en-US" w:eastAsia="zh-CN" w:bidi="ar"/>
              </w:rPr>
              <w:t>；2、</w:t>
            </w:r>
            <w:r>
              <w:rPr>
                <w:rFonts w:hint="default" w:ascii="仿宋_GB2312" w:hAnsi="宋体" w:eastAsia="仿宋_GB2312" w:cs="仿宋_GB2312"/>
                <w:i w:val="0"/>
                <w:iCs w:val="0"/>
                <w:color w:val="000000"/>
                <w:kern w:val="0"/>
                <w:sz w:val="22"/>
                <w:szCs w:val="22"/>
                <w:u w:val="none"/>
                <w:lang w:val="en-US" w:eastAsia="zh-CN" w:bidi="ar"/>
              </w:rPr>
              <w:t>食用农产品销售企业（者）监督检查</w:t>
            </w:r>
            <w:r>
              <w:rPr>
                <w:rFonts w:hint="eastAsia" w:ascii="仿宋_GB2312" w:hAnsi="宋体" w:eastAsia="仿宋_GB2312" w:cs="仿宋_GB2312"/>
                <w:i w:val="0"/>
                <w:iCs w:val="0"/>
                <w:color w:val="000000"/>
                <w:kern w:val="0"/>
                <w:sz w:val="22"/>
                <w:szCs w:val="22"/>
                <w:u w:val="none"/>
                <w:lang w:val="en-US" w:eastAsia="zh-CN" w:bidi="ar"/>
              </w:rPr>
              <w:t>。</w:t>
            </w: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《食品安全法》第一百一十条</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《食用农产品市场销售质量安全监督管理办法》</w:t>
            </w:r>
          </w:p>
        </w:tc>
      </w:tr>
      <w:tr>
        <w:tblPrEx>
          <w:tblCellMar>
            <w:top w:w="0" w:type="dxa"/>
            <w:left w:w="108" w:type="dxa"/>
            <w:bottom w:w="0" w:type="dxa"/>
            <w:right w:w="108" w:type="dxa"/>
          </w:tblCellMar>
        </w:tblPrEx>
        <w:trPr>
          <w:trHeight w:val="1407" w:hRule="atLeast"/>
          <w:jc w:val="center"/>
        </w:trPr>
        <w:tc>
          <w:tcPr>
            <w:tcW w:w="474" w:type="dxa"/>
            <w:vMerge w:val="restart"/>
            <w:tcBorders>
              <w:top w:val="single" w:color="auto" w:sz="4" w:space="0"/>
              <w:left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w:t>
            </w:r>
          </w:p>
        </w:tc>
        <w:tc>
          <w:tcPr>
            <w:tcW w:w="66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商务局</w:t>
            </w:r>
          </w:p>
        </w:tc>
        <w:tc>
          <w:tcPr>
            <w:tcW w:w="993" w:type="dxa"/>
            <w:vMerge w:val="restart"/>
            <w:tcBorders>
              <w:top w:val="single" w:color="auto" w:sz="4" w:space="0"/>
              <w:left w:val="nil"/>
              <w:right w:val="single" w:color="auto" w:sz="4" w:space="0"/>
            </w:tcBorders>
            <w:vAlign w:val="top"/>
          </w:tcPr>
          <w:p>
            <w:pPr>
              <w:jc w:val="left"/>
              <w:rPr>
                <w:rFonts w:hint="default" w:ascii="仿宋_GB2312" w:hAnsi="宋体" w:eastAsia="仿宋_GB2312" w:cs="仿宋_GB2312"/>
                <w:i w:val="0"/>
                <w:iCs w:val="0"/>
                <w:color w:val="000000"/>
                <w:kern w:val="0"/>
                <w:sz w:val="22"/>
                <w:szCs w:val="22"/>
                <w:u w:val="none"/>
                <w:lang w:val="en-US" w:eastAsia="zh-CN" w:bidi="ar"/>
              </w:rPr>
            </w:pPr>
          </w:p>
          <w:p>
            <w:pPr>
              <w:jc w:val="left"/>
              <w:rPr>
                <w:rFonts w:hint="default" w:ascii="仿宋_GB2312" w:hAnsi="宋体" w:eastAsia="仿宋_GB2312" w:cs="仿宋_GB2312"/>
                <w:i w:val="0"/>
                <w:iCs w:val="0"/>
                <w:color w:val="000000"/>
                <w:kern w:val="0"/>
                <w:sz w:val="22"/>
                <w:szCs w:val="22"/>
                <w:u w:val="none"/>
                <w:lang w:val="en-US" w:eastAsia="zh-CN" w:bidi="ar"/>
              </w:rPr>
            </w:pPr>
          </w:p>
          <w:p>
            <w:pPr>
              <w:jc w:val="left"/>
              <w:rPr>
                <w:rFonts w:hint="default" w:ascii="仿宋_GB2312" w:hAnsi="宋体" w:eastAsia="仿宋_GB2312" w:cs="仿宋_GB2312"/>
                <w:i w:val="0"/>
                <w:iCs w:val="0"/>
                <w:color w:val="000000"/>
                <w:kern w:val="0"/>
                <w:sz w:val="22"/>
                <w:szCs w:val="22"/>
                <w:u w:val="none"/>
                <w:lang w:val="en-US" w:eastAsia="zh-CN" w:bidi="ar"/>
              </w:rPr>
            </w:pPr>
          </w:p>
          <w:p>
            <w:pPr>
              <w:jc w:val="left"/>
              <w:rPr>
                <w:rFonts w:hint="default"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单用途商业预付卡企业监督检查</w:t>
            </w:r>
          </w:p>
        </w:tc>
        <w:tc>
          <w:tcPr>
            <w:tcW w:w="1282"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是否按规定备案；2.是否存在将预收资金用于投资和借贷的行为；3.是否确定一个银行账户作为资金存管账户并与存管银行签订资金存管协议；4.是否按规定填报上季度单用途卡的业务情况；5.是否按规定建立业务处理系统并保障其运行。</w:t>
            </w:r>
          </w:p>
        </w:tc>
        <w:tc>
          <w:tcPr>
            <w:tcW w:w="78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单用途商业预付卡发卡企业和售卡企业</w:t>
            </w:r>
          </w:p>
        </w:tc>
        <w:tc>
          <w:tcPr>
            <w:tcW w:w="81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7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708"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价格行为检查</w:t>
            </w:r>
          </w:p>
        </w:tc>
        <w:tc>
          <w:tcPr>
            <w:tcW w:w="1843"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执行政府定价、政府指导价情况，明码标价情况及其他价格行为的检查</w:t>
            </w:r>
            <w:r>
              <w:rPr>
                <w:rFonts w:hint="eastAsia" w:ascii="仿宋_GB2312" w:hAnsi="宋体" w:eastAsia="仿宋_GB2312" w:cs="仿宋_GB2312"/>
                <w:i w:val="0"/>
                <w:iCs w:val="0"/>
                <w:color w:val="000000"/>
                <w:kern w:val="0"/>
                <w:sz w:val="22"/>
                <w:szCs w:val="22"/>
                <w:u w:val="none"/>
                <w:lang w:val="en-US" w:eastAsia="zh-CN" w:bidi="ar"/>
              </w:rPr>
              <w:t>。</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《价格法》</w:t>
            </w:r>
          </w:p>
        </w:tc>
      </w:tr>
      <w:tr>
        <w:tblPrEx>
          <w:tblCellMar>
            <w:top w:w="0" w:type="dxa"/>
            <w:left w:w="108" w:type="dxa"/>
            <w:bottom w:w="0" w:type="dxa"/>
            <w:right w:w="108" w:type="dxa"/>
          </w:tblCellMar>
        </w:tblPrEx>
        <w:trPr>
          <w:trHeight w:val="90" w:hRule="atLeast"/>
          <w:jc w:val="center"/>
        </w:trPr>
        <w:tc>
          <w:tcPr>
            <w:tcW w:w="474" w:type="dxa"/>
            <w:vMerge w:val="continue"/>
            <w:tcBorders>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3" w:type="dxa"/>
            <w:vMerge w:val="continue"/>
            <w:tcBorders>
              <w:left w:val="nil"/>
              <w:bottom w:val="single" w:color="auto" w:sz="4" w:space="0"/>
              <w:right w:val="single" w:color="auto" w:sz="4" w:space="0"/>
            </w:tcBorders>
            <w:vAlign w:val="top"/>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1282" w:type="dxa"/>
            <w:vMerge w:val="continue"/>
            <w:tcBorders>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780" w:type="dxa"/>
            <w:vMerge w:val="continue"/>
            <w:tcBorders>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81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7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8"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化妆品生产经营的监督检查</w:t>
            </w:r>
          </w:p>
        </w:tc>
        <w:tc>
          <w:tcPr>
            <w:tcW w:w="1843"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化妆品生产经营的监督检查</w:t>
            </w: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《化妆品卫生监督条例》</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《化妆品卫生监督条例实施细则》</w:t>
            </w:r>
            <w:r>
              <w:rPr>
                <w:rFonts w:hint="eastAsia" w:ascii="仿宋_GB2312" w:hAnsi="宋体" w:eastAsia="仿宋_GB2312" w:cs="仿宋_GB2312"/>
                <w:i w:val="0"/>
                <w:iCs w:val="0"/>
                <w:color w:val="000000"/>
                <w:kern w:val="0"/>
                <w:sz w:val="22"/>
                <w:szCs w:val="22"/>
                <w:u w:val="none"/>
                <w:lang w:val="en-US" w:eastAsia="zh-CN" w:bidi="ar"/>
              </w:rPr>
              <w:t>有关规定</w:t>
            </w:r>
          </w:p>
        </w:tc>
      </w:tr>
      <w:tr>
        <w:tblPrEx>
          <w:tblCellMar>
            <w:top w:w="0" w:type="dxa"/>
            <w:left w:w="108" w:type="dxa"/>
            <w:bottom w:w="0" w:type="dxa"/>
            <w:right w:w="108" w:type="dxa"/>
          </w:tblCellMar>
        </w:tblPrEx>
        <w:trPr>
          <w:trHeight w:val="1945" w:hRule="atLeast"/>
          <w:jc w:val="center"/>
        </w:trPr>
        <w:tc>
          <w:tcPr>
            <w:tcW w:w="474" w:type="dxa"/>
            <w:vMerge w:val="continue"/>
            <w:tcBorders>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3" w:type="dxa"/>
            <w:vMerge w:val="continue"/>
            <w:tcBorders>
              <w:left w:val="nil"/>
              <w:bottom w:val="single" w:color="auto" w:sz="4" w:space="0"/>
              <w:right w:val="single" w:color="auto" w:sz="4" w:space="0"/>
            </w:tcBorders>
            <w:vAlign w:val="top"/>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1282" w:type="dxa"/>
            <w:vMerge w:val="continue"/>
            <w:tcBorders>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780" w:type="dxa"/>
            <w:vMerge w:val="continue"/>
            <w:tcBorders>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p>
        </w:tc>
        <w:tc>
          <w:tcPr>
            <w:tcW w:w="81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7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烟草专卖局</w:t>
            </w:r>
          </w:p>
        </w:tc>
        <w:tc>
          <w:tcPr>
            <w:tcW w:w="708"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卷烟零售市场秩序日常检查</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对卷烟零售商户的行政检查</w:t>
            </w: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《中华人民共和国烟草专卖法》第四条《中华人民共和国烟草专卖法实施条例》第十条</w:t>
            </w:r>
          </w:p>
        </w:tc>
      </w:tr>
      <w:tr>
        <w:tblPrEx>
          <w:tblCellMar>
            <w:top w:w="0" w:type="dxa"/>
            <w:left w:w="108" w:type="dxa"/>
            <w:bottom w:w="0" w:type="dxa"/>
            <w:right w:w="108" w:type="dxa"/>
          </w:tblCellMar>
        </w:tblPrEx>
        <w:trPr>
          <w:trHeight w:val="4057" w:hRule="atLeast"/>
          <w:jc w:val="center"/>
        </w:trPr>
        <w:tc>
          <w:tcPr>
            <w:tcW w:w="474" w:type="dxa"/>
            <w:vMerge w:val="restart"/>
            <w:tcBorders>
              <w:top w:val="single" w:color="auto" w:sz="4" w:space="0"/>
              <w:left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15</w:t>
            </w:r>
          </w:p>
        </w:tc>
        <w:tc>
          <w:tcPr>
            <w:tcW w:w="66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3" w:type="dxa"/>
            <w:vMerge w:val="restart"/>
            <w:tcBorders>
              <w:top w:val="single" w:color="auto" w:sz="4" w:space="0"/>
              <w:left w:val="nil"/>
              <w:right w:val="single" w:color="auto" w:sz="4" w:space="0"/>
            </w:tcBorders>
            <w:vAlign w:val="top"/>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对全县民办非企业单位监督检查</w:t>
            </w:r>
          </w:p>
        </w:tc>
        <w:tc>
          <w:tcPr>
            <w:tcW w:w="1282" w:type="dxa"/>
            <w:vMerge w:val="restart"/>
            <w:tcBorders>
              <w:top w:val="single" w:color="auto" w:sz="4" w:space="0"/>
              <w:left w:val="nil"/>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是否存在涂改、出租、出借民办非企业单位登记证书，或者出租、出借民办非企业单位印章情况；2、是否存在超出其章程规定的宗旨和业务范围进行活动情况；3、是否存在拒不接受或者不按照规定接受监督检查情况；4、是否存在不按照规定办理变更登记情况；5、是否存在设立分支机构情况；6、是否存在从事营利经营活动情况；7、是否存在侵占、私分、挪用民办非企业单位资产或者所接受的捐赠、资助情况；8、是否存在违反国家有关规定收取费用、筹集资金或者接受使用捐赠、资助情况；9、是否向业务主管单位报告接受、使用捐赠、资助的有关情况；10是否将接受、使用捐赠、资助的有关情况以适当方式向社会公布。</w:t>
            </w:r>
          </w:p>
        </w:tc>
        <w:tc>
          <w:tcPr>
            <w:tcW w:w="780" w:type="dxa"/>
            <w:vMerge w:val="restart"/>
            <w:tcBorders>
              <w:top w:val="single" w:color="auto" w:sz="4" w:space="0"/>
              <w:left w:val="nil"/>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全县民办非企业单位</w:t>
            </w:r>
          </w:p>
        </w:tc>
        <w:tc>
          <w:tcPr>
            <w:tcW w:w="81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99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w:t>
            </w:r>
          </w:p>
        </w:tc>
        <w:tc>
          <w:tcPr>
            <w:tcW w:w="123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1570"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《民办非企业单位登记管理暂行条例》（国务院令第251号）第十九条</w:t>
            </w:r>
          </w:p>
        </w:tc>
        <w:tc>
          <w:tcPr>
            <w:tcW w:w="709" w:type="dxa"/>
            <w:vMerge w:val="restart"/>
            <w:tcBorders>
              <w:top w:val="single" w:color="auto" w:sz="4" w:space="0"/>
              <w:left w:val="nil"/>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708"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餐饮服务监督检查</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食品经营许可情况的检查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原料控制（含食品添加剂）情况的检查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加工制作过程的检查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供餐、用餐与配送情况的检查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餐饮具清洗消毒情况的检查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场所和设施清洁维护情况的检查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食品安全管理情况的检查</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人员管理情况的检查</w:t>
            </w: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《食品安全法》第一百一十条</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《食品生产经营日常监督检查管理办法》</w:t>
            </w:r>
          </w:p>
        </w:tc>
      </w:tr>
      <w:tr>
        <w:tblPrEx>
          <w:tblCellMar>
            <w:top w:w="0" w:type="dxa"/>
            <w:left w:w="108" w:type="dxa"/>
            <w:bottom w:w="0" w:type="dxa"/>
            <w:right w:w="108" w:type="dxa"/>
          </w:tblCellMar>
        </w:tblPrEx>
        <w:trPr>
          <w:trHeight w:val="4065" w:hRule="atLeast"/>
          <w:jc w:val="center"/>
        </w:trPr>
        <w:tc>
          <w:tcPr>
            <w:tcW w:w="474" w:type="dxa"/>
            <w:vMerge w:val="continue"/>
            <w:tcBorders>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66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3" w:type="dxa"/>
            <w:vMerge w:val="continue"/>
            <w:tcBorders>
              <w:left w:val="nil"/>
              <w:bottom w:val="single" w:color="auto" w:sz="4" w:space="0"/>
              <w:right w:val="single" w:color="auto" w:sz="4" w:space="0"/>
            </w:tcBorders>
            <w:vAlign w:val="top"/>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282"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1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99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1570"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tcBorders>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p>
        </w:tc>
        <w:tc>
          <w:tcPr>
            <w:tcW w:w="708"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价格行为检查</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对执行行政事业性收费的</w:t>
            </w:r>
            <w:r>
              <w:rPr>
                <w:rFonts w:hint="eastAsia" w:ascii="仿宋_GB2312" w:hAnsi="宋体" w:eastAsia="仿宋_GB2312" w:cs="仿宋_GB2312"/>
                <w:i w:val="0"/>
                <w:iCs w:val="0"/>
                <w:color w:val="000000"/>
                <w:kern w:val="0"/>
                <w:sz w:val="22"/>
                <w:szCs w:val="22"/>
                <w:u w:val="none"/>
                <w:lang w:val="en-US" w:eastAsia="zh-CN" w:bidi="ar"/>
              </w:rPr>
              <w:t>检查。</w:t>
            </w:r>
          </w:p>
        </w:tc>
        <w:tc>
          <w:tcPr>
            <w:tcW w:w="219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《价格法》</w:t>
            </w:r>
          </w:p>
        </w:tc>
      </w:tr>
      <w:tr>
        <w:tblPrEx>
          <w:tblCellMar>
            <w:top w:w="0" w:type="dxa"/>
            <w:left w:w="108" w:type="dxa"/>
            <w:bottom w:w="0" w:type="dxa"/>
            <w:right w:w="108" w:type="dxa"/>
          </w:tblCellMar>
        </w:tblPrEx>
        <w:trPr>
          <w:trHeight w:val="800" w:hRule="atLeast"/>
          <w:jc w:val="center"/>
        </w:trPr>
        <w:tc>
          <w:tcPr>
            <w:tcW w:w="474"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16</w:t>
            </w:r>
          </w:p>
        </w:tc>
        <w:tc>
          <w:tcPr>
            <w:tcW w:w="66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医保局</w:t>
            </w:r>
          </w:p>
        </w:tc>
        <w:tc>
          <w:tcPr>
            <w:tcW w:w="993" w:type="dxa"/>
            <w:tcBorders>
              <w:top w:val="single" w:color="auto" w:sz="4" w:space="0"/>
              <w:left w:val="nil"/>
              <w:bottom w:val="single" w:color="auto" w:sz="4" w:space="0"/>
              <w:right w:val="single" w:color="auto" w:sz="4" w:space="0"/>
            </w:tcBorders>
            <w:vAlign w:val="top"/>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定点医疗机构、定点零售药店使用医疗保障基金情况</w:t>
            </w:r>
          </w:p>
        </w:tc>
        <w:tc>
          <w:tcPr>
            <w:tcW w:w="128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遵守医保政策规定情况</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履行医保服务协议情况</w:t>
            </w:r>
          </w:p>
        </w:tc>
        <w:tc>
          <w:tcPr>
            <w:tcW w:w="780"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定点医疗机构</w:t>
            </w:r>
          </w:p>
        </w:tc>
        <w:tc>
          <w:tcPr>
            <w:tcW w:w="81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99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w:t>
            </w:r>
          </w:p>
        </w:tc>
        <w:tc>
          <w:tcPr>
            <w:tcW w:w="123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县级部门</w:t>
            </w:r>
          </w:p>
        </w:tc>
        <w:tc>
          <w:tcPr>
            <w:tcW w:w="1570"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《中华人民共和国社会保险法》第七十九条和第八十七条</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财政局</w:t>
            </w:r>
          </w:p>
        </w:tc>
        <w:tc>
          <w:tcPr>
            <w:tcW w:w="708"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财政支出</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w:t>
            </w:r>
          </w:p>
        </w:tc>
        <w:tc>
          <w:tcPr>
            <w:tcW w:w="1843"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1.预算编制、执行、调整和决算情况；2.有关财政支出法规、政策的执行情况的行政检查。</w:t>
            </w:r>
          </w:p>
        </w:tc>
        <w:tc>
          <w:tcPr>
            <w:tcW w:w="2193"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1.《预算法》第五十七条</w:t>
            </w:r>
          </w:p>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2.《财政部门监督办法》（财政部令第69号）第十六条</w:t>
            </w:r>
          </w:p>
        </w:tc>
      </w:tr>
    </w:tbl>
    <w:p>
      <w:pPr>
        <w:spacing w:line="240" w:lineRule="exact"/>
        <w:rPr>
          <w:rFonts w:hint="eastAsia" w:ascii="仿宋_GB2312" w:hAnsi="宋体" w:eastAsia="仿宋_GB2312" w:cs="仿宋_GB2312"/>
          <w:i w:val="0"/>
          <w:iCs w:val="0"/>
          <w:color w:val="000000"/>
          <w:kern w:val="0"/>
          <w:sz w:val="22"/>
          <w:szCs w:val="22"/>
          <w:u w:val="none"/>
          <w:lang w:val="en-US" w:eastAsia="zh-CN" w:bidi="ar"/>
        </w:rPr>
      </w:pPr>
    </w:p>
    <w:p>
      <w:pPr>
        <w:spacing w:line="240" w:lineRule="exact"/>
        <w:rPr>
          <w:rFonts w:hint="eastAsia" w:ascii="仿宋_GB2312" w:hAnsi="宋体" w:eastAsia="仿宋_GB2312" w:cs="仿宋_GB2312"/>
          <w:i w:val="0"/>
          <w:iCs w:val="0"/>
          <w:color w:val="000000"/>
          <w:kern w:val="0"/>
          <w:sz w:val="22"/>
          <w:szCs w:val="22"/>
          <w:u w:val="none"/>
          <w:lang w:val="en-US" w:eastAsia="zh-CN" w:bidi="ar"/>
        </w:rPr>
      </w:pPr>
    </w:p>
    <w:p>
      <w:pPr>
        <w:spacing w:line="240" w:lineRule="exact"/>
        <w:rPr>
          <w:rFonts w:hint="eastAsia" w:ascii="仿宋_GB2312" w:hAnsi="宋体" w:eastAsia="仿宋_GB2312" w:cs="仿宋_GB2312"/>
          <w:i w:val="0"/>
          <w:iCs w:val="0"/>
          <w:color w:val="000000"/>
          <w:kern w:val="0"/>
          <w:sz w:val="22"/>
          <w:szCs w:val="22"/>
          <w:u w:val="none"/>
          <w:lang w:val="en-US" w:eastAsia="zh-CN" w:bidi="ar"/>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p>
    <w:p>
      <w:pPr>
        <w:jc w:val="left"/>
        <w:rPr>
          <w:rFonts w:ascii="宋体" w:hAnsi="宋体" w:cs="方正大标宋简体"/>
          <w:sz w:val="32"/>
          <w:szCs w:val="32"/>
        </w:rPr>
      </w:pPr>
      <w:r>
        <w:rPr>
          <w:rFonts w:ascii="宋体" w:hAnsi="宋体" w:cs="方正大标宋简体"/>
          <w:sz w:val="32"/>
          <w:szCs w:val="32"/>
        </w:rPr>
        <w:t>附件</w:t>
      </w:r>
      <w:r>
        <w:rPr>
          <w:rFonts w:hint="eastAsia" w:ascii="宋体" w:hAnsi="宋体" w:cs="方正大标宋简体"/>
          <w:sz w:val="32"/>
          <w:szCs w:val="32"/>
          <w:lang w:eastAsia="zh-CN"/>
        </w:rPr>
        <w:t>：</w:t>
      </w:r>
      <w:r>
        <w:rPr>
          <w:rFonts w:ascii="宋体" w:hAnsi="宋体" w:cs="方正大标宋简体"/>
          <w:sz w:val="32"/>
          <w:szCs w:val="32"/>
        </w:rPr>
        <w:t>2</w:t>
      </w:r>
    </w:p>
    <w:p>
      <w:pPr>
        <w:jc w:val="center"/>
        <w:rPr>
          <w:rFonts w:ascii="宋体" w:hAnsi="宋体" w:cs="宋体"/>
          <w:b/>
          <w:sz w:val="44"/>
          <w:szCs w:val="44"/>
        </w:rPr>
      </w:pPr>
      <w:r>
        <w:rPr>
          <w:rFonts w:hint="eastAsia" w:ascii="宋体" w:hAnsi="宋体"/>
          <w:b/>
          <w:sz w:val="44"/>
          <w:szCs w:val="44"/>
        </w:rPr>
        <w:t xml:space="preserve"> </w:t>
      </w:r>
      <w:r>
        <w:rPr>
          <w:rFonts w:hint="eastAsia" w:ascii="宋体" w:hAnsi="宋体" w:cs="宋体"/>
          <w:b/>
          <w:sz w:val="44"/>
          <w:szCs w:val="44"/>
        </w:rPr>
        <w:t>内乡县</w:t>
      </w:r>
      <w:r>
        <w:rPr>
          <w:rFonts w:hint="eastAsia" w:ascii="宋体" w:hAnsi="宋体" w:cs="宋体"/>
          <w:b/>
          <w:sz w:val="44"/>
          <w:szCs w:val="44"/>
          <w:lang w:val="en-US" w:eastAsia="zh-CN"/>
        </w:rPr>
        <w:t>2022年</w:t>
      </w:r>
      <w:r>
        <w:rPr>
          <w:rFonts w:hint="eastAsia" w:ascii="宋体" w:hAnsi="宋体" w:cs="宋体"/>
          <w:b/>
          <w:sz w:val="44"/>
          <w:szCs w:val="44"/>
        </w:rPr>
        <w:t>市场监管领域部门联合</w:t>
      </w:r>
    </w:p>
    <w:p>
      <w:pPr>
        <w:jc w:val="center"/>
        <w:rPr>
          <w:rFonts w:ascii="宋体" w:hAnsi="宋体"/>
          <w:b/>
          <w:sz w:val="44"/>
          <w:szCs w:val="44"/>
        </w:rPr>
      </w:pPr>
      <w:r>
        <w:rPr>
          <w:rFonts w:ascii="宋体" w:hAnsi="宋体"/>
          <w:b/>
          <w:sz w:val="44"/>
          <w:szCs w:val="44"/>
        </w:rPr>
        <w:t>“</w:t>
      </w:r>
      <w:r>
        <w:rPr>
          <w:rFonts w:hint="eastAsia" w:ascii="宋体" w:hAnsi="宋体" w:cs="宋体"/>
          <w:b/>
          <w:sz w:val="44"/>
          <w:szCs w:val="44"/>
        </w:rPr>
        <w:t>双随机、一公开</w:t>
      </w:r>
      <w:r>
        <w:rPr>
          <w:rFonts w:ascii="宋体" w:hAnsi="宋体"/>
          <w:b/>
          <w:sz w:val="44"/>
          <w:szCs w:val="44"/>
        </w:rPr>
        <w:t>”</w:t>
      </w:r>
      <w:r>
        <w:rPr>
          <w:rFonts w:hint="eastAsia" w:ascii="宋体" w:hAnsi="宋体" w:cs="宋体"/>
          <w:b/>
          <w:sz w:val="44"/>
          <w:szCs w:val="44"/>
        </w:rPr>
        <w:t>监管抽查工作计划</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701"/>
        <w:gridCol w:w="4961"/>
        <w:gridCol w:w="851"/>
        <w:gridCol w:w="1134"/>
        <w:gridCol w:w="1275"/>
        <w:gridCol w:w="1134"/>
        <w:gridCol w:w="709"/>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发起</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参与单位</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抽查主体</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（层级）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抽查对象</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比例</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时间段（月）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对成品油经营的监督检查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对危险化学品经营企业的监督检查；成品油市场检查；对雷电灾害防御活动的执法检查。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应急局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商务局</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对排污单位和个人的监督检查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废气污染源现场监察检查；对随意倾倒、抛撒或者堆放生活垃圾、擅自关闭、闲置或者拆除生活垃圾处置设施、场所的监督检查。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环保局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城管局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对道路运输业的监督检查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道路货物运输经营许可的监督检查；</w:t>
            </w:r>
            <w:r>
              <w:rPr>
                <w:rFonts w:hint="default" w:ascii="仿宋_GB2312" w:hAnsi="宋体" w:eastAsia="仿宋_GB2312" w:cs="仿宋_GB2312"/>
                <w:i w:val="0"/>
                <w:iCs w:val="0"/>
                <w:color w:val="000000"/>
                <w:kern w:val="0"/>
                <w:sz w:val="22"/>
                <w:szCs w:val="22"/>
                <w:u w:val="none"/>
                <w:lang w:val="en-US" w:eastAsia="zh-CN" w:bidi="ar"/>
              </w:rPr>
              <w:t>公示信息检查</w:t>
            </w:r>
            <w:r>
              <w:rPr>
                <w:rFonts w:hint="eastAsia" w:ascii="仿宋_GB2312" w:hAnsi="宋体" w:eastAsia="仿宋_GB2312" w:cs="仿宋_GB2312"/>
                <w:i w:val="0"/>
                <w:iCs w:val="0"/>
                <w:color w:val="000000"/>
                <w:kern w:val="0"/>
                <w:sz w:val="22"/>
                <w:szCs w:val="22"/>
                <w:u w:val="none"/>
                <w:lang w:val="en-US" w:eastAsia="zh-CN" w:bidi="ar"/>
              </w:rPr>
              <w:t>。</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交通局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对学校的监督检查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学校综治安全工作管理督查；餐饮服务经营者情况的检查；</w:t>
            </w:r>
            <w:r>
              <w:rPr>
                <w:rFonts w:hint="default" w:ascii="仿宋_GB2312" w:hAnsi="宋体" w:eastAsia="仿宋_GB2312" w:cs="仿宋_GB2312"/>
                <w:i w:val="0"/>
                <w:iCs w:val="0"/>
                <w:color w:val="000000"/>
                <w:kern w:val="0"/>
                <w:sz w:val="22"/>
                <w:szCs w:val="22"/>
                <w:u w:val="none"/>
                <w:lang w:val="en-US" w:eastAsia="zh-CN" w:bidi="ar"/>
              </w:rPr>
              <w:t>对食盐质量安全的监督管理</w:t>
            </w:r>
            <w:r>
              <w:rPr>
                <w:rFonts w:hint="eastAsia" w:ascii="仿宋_GB2312" w:hAnsi="宋体" w:eastAsia="仿宋_GB2312" w:cs="仿宋_GB2312"/>
                <w:i w:val="0"/>
                <w:iCs w:val="0"/>
                <w:color w:val="000000"/>
                <w:kern w:val="0"/>
                <w:sz w:val="22"/>
                <w:szCs w:val="22"/>
                <w:u w:val="none"/>
                <w:lang w:val="en-US" w:eastAsia="zh-CN" w:bidi="ar"/>
              </w:rPr>
              <w:t>；对学校的卫生监督检查。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教体局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市场监督管理局、卫健委</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相关学校</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对土地利用情况的监督检查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土地利用情况的监督检查；建筑市场行为监督检查；对人防工程维护管理的监督；对危害人民防空工程的安全和使用效能的监管；对不按照国家规定的防护标准和质量标准修建人民防空工程的监管；对侵占人民防空工程的监管；对向人民防空工程内排入废水、废气或者倾倒废弃物的监管；对人防工程施工单位履行质量责任和义务的监管；对不按照国家规定的防护标准和质量标准修建人民防空工程的监管；对侵占人民防空工程的监管；对向人民防空工程内排入废水、废气或者倾倒废弃物的监管；对人防工程施工单位履行质量责任和义务的监管；对不建防空地下室的监管。</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自然资源局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住建局、人防办</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对企业投资项目的监管</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投资项目核准和备案的监督检查；房屋和市政基础设施工程质量监督检查；注册建筑师执业资格监管；对建筑业企业资质及房屋建筑和市政基础设施工程领域施工活动的监管；对建筑施工企业安全生产活动的监管；对建筑施工项目扬尘污染防治工作的监管；对建筑施工企业主要负责人、项目负责人、专职安全生产管理人员在房屋建筑和市政基础设施工程施工领域持证上岗、教育培训和履行安全职责情况的行政检查；对建设单位编制建设工程招标文件的监管。</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发改委</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住建局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w:t>
            </w:r>
          </w:p>
        </w:tc>
        <w:tc>
          <w:tcPr>
            <w:tcW w:w="1112"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对互联网上网服务营业场所经营单位的监管</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对互联网上网服务营业场所经营单位从事互联网上网服务经营活动的行政检查；经营性上网场所落实网络安全措施检查；互联网上网服务营业场所内上网消费者是否进行实名认证核实的检查。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文广旅游局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公安局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对农作物种子（含草种）生产、经营、质量的监督检查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对农作物种子（含草种）生产、经营、质量的监督检查、住所（经营场所）或驻在场所的检查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农业农村局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对用水单位或个人节约用水行为的监管</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对节约用水的行政检查；依法纳税情况的检查；各单位执行《会计法》、《会计师事务所审批和监督暂行办法》等相关会计管理规定的情况行政检查。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水利局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税务局、财政局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w:t>
            </w:r>
          </w:p>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对经营野生动物及其产品的监督管理</w:t>
            </w:r>
          </w:p>
        </w:tc>
        <w:tc>
          <w:tcPr>
            <w:tcW w:w="496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野生动物及其产品经营的监督检查、对网络交易平台、商品交易市场等交易场所为违法出售、购买、利用野生动物及其制品或者禁止使用的猎捕工具提供交易服务行为的行政检查、税务检查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林业局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对公共场所的监督管理</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未按照规定对空气、微小气候，顾客用品等进行卫生检测；对未按照规定对顾客用具用品进行消毒或重复使用一次性用品；对未按照规定设立卫生管理制度、专职人员，未建立卫生档案等；安排未取得健康证明人员从事直接为顾客服务等，以及未在公共场所内放置安全套等；发生危害健康的事故未立即采取措施，导致事件扩大，或者隐瞒。对用人单位遵守劳动用工和社会保障法律、法规情况的行政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卫健委</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人社局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计量监督检查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计量单位使用情况专项监督检查</w:t>
            </w:r>
            <w:r>
              <w:rPr>
                <w:rFonts w:hint="eastAsia" w:ascii="仿宋_GB2312" w:hAnsi="宋体" w:eastAsia="仿宋_GB2312" w:cs="仿宋_GB2312"/>
                <w:i w:val="0"/>
                <w:iCs w:val="0"/>
                <w:color w:val="000000"/>
                <w:kern w:val="0"/>
                <w:sz w:val="22"/>
                <w:szCs w:val="22"/>
                <w:u w:val="none"/>
                <w:lang w:val="en-US" w:eastAsia="zh-CN" w:bidi="ar"/>
              </w:rPr>
              <w:t>；粮食收购资格核查；</w:t>
            </w:r>
            <w:r>
              <w:rPr>
                <w:rFonts w:hint="default" w:ascii="仿宋_GB2312" w:hAnsi="宋体" w:eastAsia="仿宋_GB2312" w:cs="仿宋_GB2312"/>
                <w:i w:val="0"/>
                <w:iCs w:val="0"/>
                <w:color w:val="000000"/>
                <w:kern w:val="0"/>
                <w:sz w:val="22"/>
                <w:szCs w:val="22"/>
                <w:u w:val="none"/>
                <w:lang w:val="en-US" w:eastAsia="zh-CN" w:bidi="ar"/>
              </w:rPr>
              <w:t>依法为履行法定填报职责提供保障情况</w:t>
            </w:r>
            <w:r>
              <w:rPr>
                <w:rFonts w:hint="eastAsia" w:ascii="仿宋_GB2312" w:hAnsi="宋体" w:eastAsia="仿宋_GB2312" w:cs="仿宋_GB2312"/>
                <w:i w:val="0"/>
                <w:iCs w:val="0"/>
                <w:color w:val="000000"/>
                <w:kern w:val="0"/>
                <w:sz w:val="22"/>
                <w:szCs w:val="22"/>
                <w:u w:val="none"/>
                <w:lang w:val="en-US" w:eastAsia="zh-CN" w:bidi="ar"/>
              </w:rPr>
              <w:t>的行政检查；规模以上企业统计台账的行政检查；依法配合统计调查和统计监督情况的行政检查。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粮食局、统计局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动物卫生监督检查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对动物饲养、屠宰、经营、隔离、运输以及动物产品生产、经营、加工、贮藏、运输等活动中的动物防疫实施监督管理；</w:t>
            </w:r>
            <w:r>
              <w:rPr>
                <w:rFonts w:hint="default" w:ascii="仿宋_GB2312" w:hAnsi="宋体" w:eastAsia="仿宋_GB2312" w:cs="仿宋_GB2312"/>
                <w:i w:val="0"/>
                <w:iCs w:val="0"/>
                <w:color w:val="000000"/>
                <w:kern w:val="0"/>
                <w:sz w:val="22"/>
                <w:szCs w:val="22"/>
                <w:u w:val="none"/>
                <w:lang w:val="en-US" w:eastAsia="zh-CN" w:bidi="ar"/>
              </w:rPr>
              <w:t>食用农产品市场销售质量安全检查</w:t>
            </w:r>
          </w:p>
          <w:p>
            <w:pPr>
              <w:jc w:val="left"/>
              <w:rPr>
                <w:rFonts w:hint="eastAsia" w:ascii="仿宋_GB2312" w:hAnsi="宋体" w:eastAsia="仿宋_GB2312" w:cs="仿宋_GB2312"/>
                <w:i w:val="0"/>
                <w:iCs w:val="0"/>
                <w:color w:val="000000"/>
                <w:kern w:val="0"/>
                <w:sz w:val="22"/>
                <w:szCs w:val="22"/>
                <w:u w:val="none"/>
                <w:lang w:val="en-US" w:eastAsia="zh-CN" w:bidi="ar"/>
              </w:rPr>
            </w:pP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畜牧局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单用途商业预付卡企业监督检查</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是否按规定备案；是否存在将预收资金用于投资和借贷的行为；是否确定一个银行账户作为资金存管账户并与存管银行签订资金存管协议；是否按规定填报上季度单用途卡的业务情况；是否按规定建立业务处理系统并保障其运行</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执行政府定价、政府指导价情况，明码标价情况及其他价格行为的检查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化妆品生产经营的监督检查</w:t>
            </w:r>
            <w:r>
              <w:rPr>
                <w:rFonts w:hint="eastAsia" w:ascii="仿宋_GB2312" w:hAnsi="宋体" w:eastAsia="仿宋_GB2312" w:cs="仿宋_GB2312"/>
                <w:i w:val="0"/>
                <w:iCs w:val="0"/>
                <w:color w:val="000000"/>
                <w:kern w:val="0"/>
                <w:sz w:val="22"/>
                <w:szCs w:val="22"/>
                <w:u w:val="none"/>
                <w:lang w:val="en-US" w:eastAsia="zh-CN" w:bidi="ar"/>
              </w:rPr>
              <w:t>；对卷烟零售商户的行政检查。</w:t>
            </w:r>
          </w:p>
        </w:tc>
        <w:tc>
          <w:tcPr>
            <w:tcW w:w="851" w:type="dxa"/>
            <w:tcBorders>
              <w:top w:val="single" w:color="auto" w:sz="4" w:space="0"/>
              <w:left w:val="nil"/>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商务局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市场监督管理局、烟草专卖局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相关市场主体</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15</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民政局</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是否存在涂改、出租、出借民办非企业单位登记证书，或者出租、出借民办非企业单位印章情况；是否存在超出其章程规定的宗旨和业务范围进行活动情况；是否存在拒不接受或者不按照规定接受监督检查情况；是否存在不按照规定办理变更登记情况；是否存在设立分支机构情况；是否存在从事营利经营活动情况；是否存在侵占、私分、挪用民办非企业单位资产或者所接受的捐赠、资助情况；是否存在违反国家有关规定收取费用、筹集资金或者接受使用捐赠、资助情况；是否向业务主管单位报告接受、使用捐赠、资助的有关情况；是否将接受、使用捐赠、资助的有关情况以适当方式向社会公布；</w:t>
            </w:r>
            <w:r>
              <w:rPr>
                <w:rFonts w:hint="default" w:ascii="仿宋_GB2312" w:hAnsi="宋体" w:eastAsia="仿宋_GB2312" w:cs="仿宋_GB2312"/>
                <w:i w:val="0"/>
                <w:iCs w:val="0"/>
                <w:color w:val="000000"/>
                <w:kern w:val="0"/>
                <w:sz w:val="22"/>
                <w:szCs w:val="22"/>
                <w:u w:val="none"/>
                <w:lang w:val="en-US" w:eastAsia="zh-CN" w:bidi="ar"/>
              </w:rPr>
              <w:t>食品经营许可情况的检查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原料控制（含食品添加剂）情况的检查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加工制作过程的检查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供餐、用餐与配送情况的检查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餐饮具清洗消毒情况的检查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场所和设施清洁维护情况的检查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食品安全管理情况的检查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人员管理情况的检查</w:t>
            </w:r>
            <w:r>
              <w:rPr>
                <w:rFonts w:hint="eastAsia" w:ascii="仿宋_GB2312" w:hAnsi="宋体" w:eastAsia="仿宋_GB2312" w:cs="仿宋_GB2312"/>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对执行行政事业性收费的</w:t>
            </w:r>
            <w:r>
              <w:rPr>
                <w:rFonts w:hint="eastAsia" w:ascii="仿宋_GB2312" w:hAnsi="宋体" w:eastAsia="仿宋_GB2312" w:cs="仿宋_GB2312"/>
                <w:i w:val="0"/>
                <w:iCs w:val="0"/>
                <w:color w:val="000000"/>
                <w:kern w:val="0"/>
                <w:sz w:val="22"/>
                <w:szCs w:val="22"/>
                <w:u w:val="none"/>
                <w:lang w:val="en-US" w:eastAsia="zh-CN" w:bidi="ar"/>
              </w:rPr>
              <w:t>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民政局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市场监督管理局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相关检查对象</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22" w:type="dxa"/>
            <w:tcBorders>
              <w:top w:val="single" w:color="auto" w:sz="4" w:space="0"/>
              <w:left w:val="single" w:color="auto" w:sz="4" w:space="0"/>
              <w:bottom w:val="single" w:color="auto" w:sz="4" w:space="0"/>
              <w:right w:val="single" w:color="auto" w:sz="4" w:space="0"/>
            </w:tcBorders>
            <w:vAlign w:val="center"/>
          </w:tcPr>
          <w:p>
            <w:pPr>
              <w:jc w:val="left"/>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16</w:t>
            </w:r>
          </w:p>
        </w:tc>
        <w:tc>
          <w:tcPr>
            <w:tcW w:w="170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定点医疗机构、定点零售药店使用医疗保障基金情况</w:t>
            </w:r>
          </w:p>
        </w:tc>
        <w:tc>
          <w:tcPr>
            <w:tcW w:w="496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遵守医保政策规定情况；履行医保服务协议情况；预算编制、执行、调整和决算情况；有关财政支出法规、政策的执行情况的行政检查。</w:t>
            </w:r>
          </w:p>
        </w:tc>
        <w:tc>
          <w:tcPr>
            <w:tcW w:w="851"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医保局</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财政局</w:t>
            </w:r>
          </w:p>
        </w:tc>
        <w:tc>
          <w:tcPr>
            <w:tcW w:w="1275"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w:t>
            </w:r>
          </w:p>
        </w:tc>
        <w:tc>
          <w:tcPr>
            <w:tcW w:w="1134"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相关医疗机构</w:t>
            </w:r>
          </w:p>
        </w:tc>
        <w:tc>
          <w:tcPr>
            <w:tcW w:w="709"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112" w:type="dxa"/>
            <w:tcBorders>
              <w:top w:val="single" w:color="auto" w:sz="4" w:space="0"/>
              <w:left w:val="nil"/>
              <w:bottom w:val="single" w:color="auto" w:sz="4" w:space="0"/>
              <w:right w:val="single" w:color="auto" w:sz="4" w:space="0"/>
            </w:tcBorders>
            <w:vAlign w:val="center"/>
          </w:tcPr>
          <w:p>
            <w:pPr>
              <w:jc w:val="left"/>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r>
    </w:tbl>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p>
      <w:pPr>
        <w:jc w:val="left"/>
        <w:rPr>
          <w:rFonts w:hint="eastAsia" w:ascii="仿宋_GB2312" w:hAnsi="宋体" w:eastAsia="仿宋_GB2312" w:cs="仿宋_GB2312"/>
          <w:i w:val="0"/>
          <w:iCs w:val="0"/>
          <w:color w:val="000000"/>
          <w:kern w:val="0"/>
          <w:sz w:val="22"/>
          <w:szCs w:val="22"/>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15</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5085"/>
    <w:rsid w:val="007A6F63"/>
    <w:rsid w:val="00D56976"/>
    <w:rsid w:val="02994018"/>
    <w:rsid w:val="030B0B7E"/>
    <w:rsid w:val="0552145C"/>
    <w:rsid w:val="07860A61"/>
    <w:rsid w:val="080C0DE8"/>
    <w:rsid w:val="080E352C"/>
    <w:rsid w:val="082C44CA"/>
    <w:rsid w:val="09EF5858"/>
    <w:rsid w:val="0A9F7602"/>
    <w:rsid w:val="0AAF0151"/>
    <w:rsid w:val="0B2D7384"/>
    <w:rsid w:val="0B4364E5"/>
    <w:rsid w:val="0E471CEE"/>
    <w:rsid w:val="0F386966"/>
    <w:rsid w:val="12E962E9"/>
    <w:rsid w:val="13511B7A"/>
    <w:rsid w:val="141A068F"/>
    <w:rsid w:val="151233C1"/>
    <w:rsid w:val="174D4F79"/>
    <w:rsid w:val="17936E30"/>
    <w:rsid w:val="198A4263"/>
    <w:rsid w:val="1A167102"/>
    <w:rsid w:val="1AC94E48"/>
    <w:rsid w:val="1B3A5A29"/>
    <w:rsid w:val="1B6F54BE"/>
    <w:rsid w:val="1DB16262"/>
    <w:rsid w:val="1E647196"/>
    <w:rsid w:val="1EE00481"/>
    <w:rsid w:val="1F5839A7"/>
    <w:rsid w:val="21006F8F"/>
    <w:rsid w:val="23403FBD"/>
    <w:rsid w:val="23571659"/>
    <w:rsid w:val="24940647"/>
    <w:rsid w:val="24DA77F3"/>
    <w:rsid w:val="27315D1D"/>
    <w:rsid w:val="281A5CF2"/>
    <w:rsid w:val="2C1019EA"/>
    <w:rsid w:val="2E150B56"/>
    <w:rsid w:val="2E262354"/>
    <w:rsid w:val="2E3E3B7F"/>
    <w:rsid w:val="2EE61AE3"/>
    <w:rsid w:val="2F227456"/>
    <w:rsid w:val="2F357FD1"/>
    <w:rsid w:val="2F437F16"/>
    <w:rsid w:val="2FA66E19"/>
    <w:rsid w:val="2FBE480E"/>
    <w:rsid w:val="30544B0C"/>
    <w:rsid w:val="313308E4"/>
    <w:rsid w:val="313B4368"/>
    <w:rsid w:val="316255FD"/>
    <w:rsid w:val="33CD306E"/>
    <w:rsid w:val="346F6F90"/>
    <w:rsid w:val="349F0D00"/>
    <w:rsid w:val="34D573B4"/>
    <w:rsid w:val="353C420B"/>
    <w:rsid w:val="35645510"/>
    <w:rsid w:val="3569521C"/>
    <w:rsid w:val="369D2D57"/>
    <w:rsid w:val="37B502A5"/>
    <w:rsid w:val="391267B2"/>
    <w:rsid w:val="398B2AE7"/>
    <w:rsid w:val="39E95969"/>
    <w:rsid w:val="3A5F274A"/>
    <w:rsid w:val="3A8542C3"/>
    <w:rsid w:val="3AA11927"/>
    <w:rsid w:val="3ACD0073"/>
    <w:rsid w:val="3BFD046C"/>
    <w:rsid w:val="3C975D64"/>
    <w:rsid w:val="3CC05722"/>
    <w:rsid w:val="3D934BE4"/>
    <w:rsid w:val="3E4F1453"/>
    <w:rsid w:val="3EB61A61"/>
    <w:rsid w:val="3FE27478"/>
    <w:rsid w:val="40D95611"/>
    <w:rsid w:val="41356481"/>
    <w:rsid w:val="42763C11"/>
    <w:rsid w:val="43DE7A13"/>
    <w:rsid w:val="44A32B0C"/>
    <w:rsid w:val="44C24001"/>
    <w:rsid w:val="453C4475"/>
    <w:rsid w:val="4716395B"/>
    <w:rsid w:val="4799373F"/>
    <w:rsid w:val="47D022E1"/>
    <w:rsid w:val="495C326C"/>
    <w:rsid w:val="49D46C7C"/>
    <w:rsid w:val="4A987CDE"/>
    <w:rsid w:val="4BD47F3C"/>
    <w:rsid w:val="4BF74ED8"/>
    <w:rsid w:val="4C037BC1"/>
    <w:rsid w:val="4C371778"/>
    <w:rsid w:val="4D4C3815"/>
    <w:rsid w:val="4D6D4928"/>
    <w:rsid w:val="4E884812"/>
    <w:rsid w:val="50A254A3"/>
    <w:rsid w:val="51A02811"/>
    <w:rsid w:val="527019EC"/>
    <w:rsid w:val="529B480F"/>
    <w:rsid w:val="539B25ED"/>
    <w:rsid w:val="5475308C"/>
    <w:rsid w:val="54B56945"/>
    <w:rsid w:val="551D59AF"/>
    <w:rsid w:val="55E54B02"/>
    <w:rsid w:val="561771E7"/>
    <w:rsid w:val="594136DC"/>
    <w:rsid w:val="59EF4B7E"/>
    <w:rsid w:val="5B8B62C8"/>
    <w:rsid w:val="5BAD55B3"/>
    <w:rsid w:val="5C007491"/>
    <w:rsid w:val="5DF53A5B"/>
    <w:rsid w:val="5E0F0328"/>
    <w:rsid w:val="5F157C66"/>
    <w:rsid w:val="5F7906EA"/>
    <w:rsid w:val="608A1AC7"/>
    <w:rsid w:val="608E330B"/>
    <w:rsid w:val="612445D4"/>
    <w:rsid w:val="62526006"/>
    <w:rsid w:val="62DF3E9C"/>
    <w:rsid w:val="63A54836"/>
    <w:rsid w:val="657E5CDA"/>
    <w:rsid w:val="6659198B"/>
    <w:rsid w:val="666B5E4F"/>
    <w:rsid w:val="66D14C6E"/>
    <w:rsid w:val="682D1A91"/>
    <w:rsid w:val="6AA54025"/>
    <w:rsid w:val="6AA54435"/>
    <w:rsid w:val="6ADF09E7"/>
    <w:rsid w:val="6AF421E2"/>
    <w:rsid w:val="6BD853D1"/>
    <w:rsid w:val="6D0050A9"/>
    <w:rsid w:val="6DE436A4"/>
    <w:rsid w:val="6DE82E4A"/>
    <w:rsid w:val="6F1F6D54"/>
    <w:rsid w:val="6FC00FB9"/>
    <w:rsid w:val="6FDE0662"/>
    <w:rsid w:val="703E2512"/>
    <w:rsid w:val="71BF1DB5"/>
    <w:rsid w:val="71ED62B2"/>
    <w:rsid w:val="727D2B35"/>
    <w:rsid w:val="72FF0E5C"/>
    <w:rsid w:val="73706C6F"/>
    <w:rsid w:val="73B24E5B"/>
    <w:rsid w:val="74A62DC1"/>
    <w:rsid w:val="754D7793"/>
    <w:rsid w:val="755C79D6"/>
    <w:rsid w:val="75D4756D"/>
    <w:rsid w:val="762A6024"/>
    <w:rsid w:val="771B0A20"/>
    <w:rsid w:val="782A61A9"/>
    <w:rsid w:val="79B03719"/>
    <w:rsid w:val="79C618C2"/>
    <w:rsid w:val="7A603AC5"/>
    <w:rsid w:val="7AB463F1"/>
    <w:rsid w:val="7BC1601F"/>
    <w:rsid w:val="7BF70E40"/>
    <w:rsid w:val="7C0C5586"/>
    <w:rsid w:val="7C3A20F4"/>
    <w:rsid w:val="7C471C48"/>
    <w:rsid w:val="7E5576B9"/>
    <w:rsid w:val="7FD25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1"/>
    <w:pPr>
      <w:widowControl w:val="0"/>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2022-01-11T05:51:00Z</dcterms:created>
  <dc:creator>Administrator</dc:creator>
  <cp:lastModifiedBy>小玫瑰</cp:lastModifiedBy>
  <dcterms:modified xsi:type="dcterms:W3CDTF">2022-01-12T06:36:24Z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3CC457F4A67F41538D72B449FBEE18CD</vt:lpwstr>
  </property>
</Properties>
</file>