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hAnsi="黑体" w:eastAsia="黑体" w:cs="方正小标宋简体"/>
          <w:szCs w:val="32"/>
        </w:rPr>
      </w:pPr>
      <w:bookmarkStart w:id="0" w:name="_GoBack"/>
      <w:bookmarkEnd w:id="0"/>
      <w:r>
        <w:rPr>
          <w:rFonts w:hint="eastAsia" w:ascii="黑体" w:hAnsi="黑体" w:eastAsia="黑体" w:cs="方正小标宋简体"/>
          <w:szCs w:val="32"/>
        </w:rPr>
        <w:t>附件1</w:t>
      </w:r>
    </w:p>
    <w:p>
      <w:pPr>
        <w:spacing w:line="576" w:lineRule="exact"/>
        <w:jc w:val="left"/>
        <w:rPr>
          <w:rFonts w:ascii="黑体" w:hAnsi="黑体" w:eastAsia="黑体" w:cs="方正小标宋简体"/>
          <w:szCs w:val="32"/>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河南省社会救助领域基层政务公开标准目录</w:t>
      </w:r>
    </w:p>
    <w:tbl>
      <w:tblPr>
        <w:tblStyle w:val="7"/>
        <w:tblpPr w:leftFromText="180" w:rightFromText="180" w:vertAnchor="text" w:horzAnchor="margin" w:tblpXSpec="center" w:tblpY="496"/>
        <w:tblOverlap w:val="never"/>
        <w:tblW w:w="61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41"/>
        <w:gridCol w:w="693"/>
        <w:gridCol w:w="2375"/>
        <w:gridCol w:w="1816"/>
        <w:gridCol w:w="1098"/>
        <w:gridCol w:w="1270"/>
        <w:gridCol w:w="3377"/>
        <w:gridCol w:w="584"/>
        <w:gridCol w:w="674"/>
        <w:gridCol w:w="658"/>
        <w:gridCol w:w="543"/>
        <w:gridCol w:w="527"/>
        <w:gridCol w:w="62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trPr>
        <w:tc>
          <w:tcPr>
            <w:tcW w:w="135"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序号</w:t>
            </w:r>
          </w:p>
        </w:tc>
        <w:tc>
          <w:tcPr>
            <w:tcW w:w="449"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公开事项</w:t>
            </w:r>
          </w:p>
        </w:tc>
        <w:tc>
          <w:tcPr>
            <w:tcW w:w="744"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公开内容</w:t>
            </w:r>
          </w:p>
          <w:p>
            <w:pPr>
              <w:jc w:val="center"/>
              <w:rPr>
                <w:rFonts w:ascii="仿宋_GB2312" w:hAnsi="仿宋_GB2312" w:cs="仿宋_GB2312"/>
                <w:sz w:val="24"/>
                <w:szCs w:val="24"/>
              </w:rPr>
            </w:pPr>
            <w:r>
              <w:rPr>
                <w:rFonts w:hint="eastAsia" w:ascii="仿宋_GB2312" w:hAnsi="仿宋_GB2312" w:cs="仿宋_GB2312"/>
                <w:b/>
                <w:bCs/>
                <w:sz w:val="24"/>
                <w:szCs w:val="24"/>
              </w:rPr>
              <w:t>（要素）</w:t>
            </w:r>
          </w:p>
        </w:tc>
        <w:tc>
          <w:tcPr>
            <w:tcW w:w="569"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公开依据</w:t>
            </w:r>
          </w:p>
        </w:tc>
        <w:tc>
          <w:tcPr>
            <w:tcW w:w="344"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公开时限</w:t>
            </w:r>
          </w:p>
        </w:tc>
        <w:tc>
          <w:tcPr>
            <w:tcW w:w="398"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公开主体</w:t>
            </w:r>
          </w:p>
        </w:tc>
        <w:tc>
          <w:tcPr>
            <w:tcW w:w="1058"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公开渠道和载体</w:t>
            </w:r>
          </w:p>
          <w:p>
            <w:pPr>
              <w:jc w:val="center"/>
              <w:rPr>
                <w:rFonts w:ascii="仿宋_GB2312" w:hAnsi="仿宋_GB2312" w:cs="仿宋_GB2312"/>
                <w:sz w:val="24"/>
                <w:szCs w:val="24"/>
              </w:rPr>
            </w:pPr>
            <w:r>
              <w:rPr>
                <w:rFonts w:ascii="仿宋_GB2312" w:hAnsi="仿宋_GB2312" w:cs="仿宋_GB2312"/>
                <w:b/>
                <w:bCs/>
                <w:sz w:val="24"/>
                <w:szCs w:val="24"/>
              </w:rPr>
              <w:t>(</w:t>
            </w:r>
            <w:r>
              <w:rPr>
                <w:rFonts w:hint="eastAsia" w:ascii="仿宋_GB2312" w:hAnsi="仿宋_GB2312" w:cs="仿宋_GB2312"/>
                <w:b/>
                <w:bCs/>
                <w:sz w:val="24"/>
                <w:szCs w:val="24"/>
              </w:rPr>
              <w:t>至少一项</w:t>
            </w:r>
            <w:r>
              <w:rPr>
                <w:rFonts w:ascii="仿宋_GB2312" w:hAnsi="仿宋_GB2312" w:cs="仿宋_GB2312"/>
                <w:b/>
                <w:bCs/>
                <w:sz w:val="24"/>
                <w:szCs w:val="24"/>
              </w:rPr>
              <w:t>)</w:t>
            </w:r>
          </w:p>
        </w:tc>
        <w:tc>
          <w:tcPr>
            <w:tcW w:w="394"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公开对象</w:t>
            </w:r>
          </w:p>
        </w:tc>
        <w:tc>
          <w:tcPr>
            <w:tcW w:w="376"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公开方式</w:t>
            </w:r>
          </w:p>
        </w:tc>
        <w:tc>
          <w:tcPr>
            <w:tcW w:w="533" w:type="pct"/>
            <w:gridSpan w:val="3"/>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135" w:type="pct"/>
            <w:vMerge w:val="continue"/>
            <w:vAlign w:val="center"/>
          </w:tcPr>
          <w:p>
            <w:pPr>
              <w:jc w:val="center"/>
              <w:rPr>
                <w:rFonts w:ascii="仿宋_GB2312" w:hAnsi="仿宋_GB2312" w:cs="仿宋_GB2312"/>
                <w:sz w:val="24"/>
                <w:szCs w:val="24"/>
              </w:rPr>
            </w:pPr>
          </w:p>
        </w:tc>
        <w:tc>
          <w:tcPr>
            <w:tcW w:w="232"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一级事项</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二级事项</w:t>
            </w:r>
          </w:p>
        </w:tc>
        <w:tc>
          <w:tcPr>
            <w:tcW w:w="744" w:type="pct"/>
            <w:vMerge w:val="continue"/>
            <w:vAlign w:val="center"/>
          </w:tcPr>
          <w:p>
            <w:pPr>
              <w:jc w:val="center"/>
              <w:rPr>
                <w:rFonts w:ascii="仿宋_GB2312" w:hAnsi="仿宋_GB2312" w:cs="仿宋_GB2312"/>
                <w:sz w:val="24"/>
                <w:szCs w:val="24"/>
              </w:rPr>
            </w:pPr>
          </w:p>
        </w:tc>
        <w:tc>
          <w:tcPr>
            <w:tcW w:w="569" w:type="pct"/>
            <w:vMerge w:val="continue"/>
            <w:vAlign w:val="center"/>
          </w:tcPr>
          <w:p>
            <w:pPr>
              <w:jc w:val="center"/>
              <w:rPr>
                <w:rFonts w:ascii="仿宋_GB2312" w:hAnsi="仿宋_GB2312" w:cs="仿宋_GB2312"/>
                <w:sz w:val="24"/>
                <w:szCs w:val="24"/>
              </w:rPr>
            </w:pPr>
          </w:p>
        </w:tc>
        <w:tc>
          <w:tcPr>
            <w:tcW w:w="344" w:type="pct"/>
            <w:vMerge w:val="continue"/>
            <w:vAlign w:val="center"/>
          </w:tcPr>
          <w:p>
            <w:pPr>
              <w:jc w:val="center"/>
              <w:rPr>
                <w:rFonts w:ascii="仿宋_GB2312" w:hAnsi="仿宋_GB2312" w:cs="仿宋_GB2312"/>
                <w:sz w:val="24"/>
                <w:szCs w:val="24"/>
              </w:rPr>
            </w:pPr>
          </w:p>
        </w:tc>
        <w:tc>
          <w:tcPr>
            <w:tcW w:w="398" w:type="pct"/>
            <w:vMerge w:val="continue"/>
            <w:vAlign w:val="center"/>
          </w:tcPr>
          <w:p>
            <w:pPr>
              <w:jc w:val="center"/>
              <w:rPr>
                <w:rFonts w:ascii="仿宋_GB2312" w:hAnsi="仿宋_GB2312" w:cs="仿宋_GB2312"/>
                <w:sz w:val="24"/>
                <w:szCs w:val="24"/>
              </w:rPr>
            </w:pPr>
          </w:p>
        </w:tc>
        <w:tc>
          <w:tcPr>
            <w:tcW w:w="1058" w:type="pct"/>
            <w:vMerge w:val="continue"/>
            <w:vAlign w:val="center"/>
          </w:tcPr>
          <w:p>
            <w:pPr>
              <w:jc w:val="center"/>
              <w:rPr>
                <w:rFonts w:ascii="仿宋_GB2312" w:hAnsi="仿宋_GB2312" w:cs="仿宋_GB2312"/>
                <w:sz w:val="24"/>
                <w:szCs w:val="24"/>
              </w:rPr>
            </w:pPr>
          </w:p>
        </w:tc>
        <w:tc>
          <w:tcPr>
            <w:tcW w:w="183"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全</w:t>
            </w:r>
          </w:p>
          <w:p>
            <w:pPr>
              <w:jc w:val="center"/>
              <w:rPr>
                <w:rFonts w:ascii="仿宋_GB2312" w:hAnsi="仿宋_GB2312" w:cs="仿宋_GB2312"/>
                <w:sz w:val="24"/>
                <w:szCs w:val="24"/>
              </w:rPr>
            </w:pPr>
            <w:r>
              <w:rPr>
                <w:rFonts w:hint="eastAsia" w:ascii="仿宋_GB2312" w:hAnsi="仿宋_GB2312" w:cs="仿宋_GB2312"/>
                <w:b/>
                <w:bCs/>
                <w:sz w:val="24"/>
                <w:szCs w:val="24"/>
              </w:rPr>
              <w:t>社会</w:t>
            </w:r>
          </w:p>
        </w:tc>
        <w:tc>
          <w:tcPr>
            <w:tcW w:w="211"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特定群体</w:t>
            </w:r>
          </w:p>
        </w:tc>
        <w:tc>
          <w:tcPr>
            <w:tcW w:w="20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主动</w:t>
            </w:r>
          </w:p>
        </w:tc>
        <w:tc>
          <w:tcPr>
            <w:tcW w:w="170"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依</w:t>
            </w:r>
          </w:p>
          <w:p>
            <w:pPr>
              <w:jc w:val="center"/>
              <w:rPr>
                <w:rFonts w:ascii="仿宋_GB2312" w:hAnsi="仿宋_GB2312" w:cs="仿宋_GB2312"/>
                <w:sz w:val="24"/>
                <w:szCs w:val="24"/>
              </w:rPr>
            </w:pPr>
            <w:r>
              <w:rPr>
                <w:rFonts w:hint="eastAsia" w:ascii="仿宋_GB2312" w:hAnsi="仿宋_GB2312" w:cs="仿宋_GB2312"/>
                <w:b/>
                <w:bCs/>
                <w:sz w:val="24"/>
                <w:szCs w:val="24"/>
              </w:rPr>
              <w:t>申请</w:t>
            </w:r>
          </w:p>
        </w:tc>
        <w:tc>
          <w:tcPr>
            <w:tcW w:w="16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县级</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乡级</w:t>
            </w:r>
          </w:p>
        </w:tc>
        <w:tc>
          <w:tcPr>
            <w:tcW w:w="17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村</w:t>
            </w:r>
          </w:p>
          <w:p>
            <w:pPr>
              <w:jc w:val="center"/>
              <w:rPr>
                <w:rFonts w:ascii="仿宋_GB2312" w:hAnsi="仿宋_GB2312" w:cs="仿宋_GB2312"/>
                <w:b/>
                <w:bCs/>
                <w:sz w:val="24"/>
                <w:szCs w:val="24"/>
              </w:rPr>
            </w:pPr>
            <w:r>
              <w:rPr>
                <w:rFonts w:hint="eastAsia" w:ascii="仿宋_GB2312" w:hAnsi="仿宋_GB2312" w:cs="仿宋_GB2312"/>
                <w:b/>
                <w:bCs/>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1 </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综合业务</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1.《社会救助暂行办法》（国务院令第649号）</w:t>
            </w:r>
          </w:p>
          <w:p>
            <w:pPr>
              <w:spacing w:line="290" w:lineRule="exact"/>
              <w:rPr>
                <w:rFonts w:ascii="仿宋_GB2312" w:hAnsi="仿宋_GB2312" w:cs="仿宋_GB2312"/>
                <w:sz w:val="24"/>
                <w:szCs w:val="24"/>
              </w:rPr>
            </w:pPr>
            <w:r>
              <w:rPr>
                <w:rFonts w:hint="eastAsia" w:ascii="仿宋_GB2312" w:hAnsi="仿宋_GB2312" w:cs="仿宋_GB2312"/>
                <w:sz w:val="24"/>
                <w:szCs w:val="24"/>
              </w:rPr>
              <w:t>2.《河南省社会救助实施办法》(豫政 〔2014〕92号)</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3.各地配套政策法规文件</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2</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监督检查</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1.社会救助信访通讯地址</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2.社会救助投诉举报电话</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                                  </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3</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最低生活保障</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1.《国务院关于进一步加强和改进最低</w:t>
            </w:r>
            <w:r>
              <w:rPr>
                <w:rFonts w:hint="eastAsia" w:ascii="仿宋_GB2312" w:hAnsi="仿宋_GB2312" w:cs="仿宋_GB2312"/>
                <w:spacing w:val="-11"/>
                <w:sz w:val="24"/>
                <w:szCs w:val="24"/>
              </w:rPr>
              <w:t>生活保障工作的意见》（国发〔2012〕45号）</w:t>
            </w:r>
          </w:p>
          <w:p>
            <w:pPr>
              <w:spacing w:line="260" w:lineRule="exact"/>
              <w:rPr>
                <w:rFonts w:ascii="仿宋_GB2312" w:hAnsi="仿宋_GB2312" w:cs="仿宋_GB2312"/>
                <w:sz w:val="24"/>
                <w:szCs w:val="24"/>
              </w:rPr>
            </w:pPr>
            <w:r>
              <w:rPr>
                <w:rFonts w:hint="eastAsia" w:ascii="仿宋_GB2312" w:hAnsi="仿宋_GB2312" w:cs="仿宋_GB2312"/>
                <w:sz w:val="24"/>
                <w:szCs w:val="24"/>
              </w:rPr>
              <w:t>2.《最低生活保障审核审批办法（试行）》（民发〔2012〕220号）</w:t>
            </w:r>
          </w:p>
          <w:p>
            <w:pPr>
              <w:spacing w:line="260" w:lineRule="exact"/>
              <w:rPr>
                <w:rFonts w:ascii="仿宋_GB2312" w:hAnsi="仿宋_GB2312" w:cs="仿宋_GB2312"/>
                <w:sz w:val="24"/>
                <w:szCs w:val="24"/>
                <w:highlight w:val="yellow"/>
              </w:rPr>
            </w:pPr>
            <w:r>
              <w:rPr>
                <w:rFonts w:hint="eastAsia" w:ascii="仿宋_GB2312" w:hAnsi="仿宋_GB2312" w:cs="仿宋_GB2312"/>
                <w:sz w:val="24"/>
                <w:szCs w:val="24"/>
              </w:rPr>
              <w:t>3.《河南省人民政府关于进一步做好城乡居民最低生活保障工作的意见》（豫政〔2013〕51号）</w:t>
            </w:r>
          </w:p>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4.各地配套政策法规文件</w:t>
            </w:r>
          </w:p>
        </w:tc>
        <w:tc>
          <w:tcPr>
            <w:tcW w:w="569"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4</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办事指南</w:t>
            </w:r>
          </w:p>
        </w:tc>
        <w:tc>
          <w:tcPr>
            <w:tcW w:w="744"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8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80" w:lineRule="exact"/>
              <w:rPr>
                <w:rFonts w:ascii="仿宋_GB2312" w:hAnsi="仿宋_GB2312" w:cs="仿宋_GB2312"/>
                <w:sz w:val="24"/>
                <w:szCs w:val="24"/>
              </w:rPr>
            </w:pPr>
            <w:r>
              <w:rPr>
                <w:rFonts w:hint="eastAsia" w:ascii="仿宋_GB2312" w:hAnsi="仿宋_GB2312" w:cs="仿宋_GB2312"/>
                <w:sz w:val="24"/>
                <w:szCs w:val="24"/>
              </w:rPr>
              <w:t>3.</w:t>
            </w:r>
            <w:r>
              <w:rPr>
                <w:rFonts w:hint="eastAsia" w:ascii="仿宋_GB2312" w:hAnsi="仿宋_GB2312" w:cs="仿宋_GB2312"/>
                <w:spacing w:val="-11"/>
                <w:sz w:val="24"/>
                <w:szCs w:val="24"/>
              </w:rPr>
              <w:t>最低生活保障标准</w:t>
            </w:r>
          </w:p>
          <w:p>
            <w:pPr>
              <w:spacing w:line="280" w:lineRule="exact"/>
              <w:rPr>
                <w:rFonts w:ascii="仿宋_GB2312" w:hAnsi="仿宋_GB2312" w:cs="仿宋_GB2312"/>
                <w:sz w:val="24"/>
                <w:szCs w:val="24"/>
              </w:rPr>
            </w:pPr>
            <w:r>
              <w:rPr>
                <w:rFonts w:hint="eastAsia" w:ascii="仿宋_GB2312" w:hAnsi="仿宋_GB2312" w:cs="仿宋_GB2312"/>
                <w:sz w:val="24"/>
                <w:szCs w:val="24"/>
              </w:rPr>
              <w:t>4.申请材料</w:t>
            </w:r>
          </w:p>
          <w:p>
            <w:pPr>
              <w:spacing w:line="280" w:lineRule="exact"/>
              <w:rPr>
                <w:rFonts w:ascii="仿宋_GB2312" w:hAnsi="仿宋_GB2312" w:cs="仿宋_GB2312"/>
                <w:sz w:val="24"/>
                <w:szCs w:val="24"/>
              </w:rPr>
            </w:pPr>
            <w:r>
              <w:rPr>
                <w:rFonts w:hint="eastAsia" w:ascii="仿宋_GB2312" w:hAnsi="仿宋_GB2312" w:cs="仿宋_GB2312"/>
                <w:sz w:val="24"/>
                <w:szCs w:val="24"/>
              </w:rPr>
              <w:t>5.办理流程</w:t>
            </w:r>
          </w:p>
          <w:p>
            <w:pPr>
              <w:spacing w:line="280" w:lineRule="exact"/>
              <w:rPr>
                <w:rFonts w:ascii="仿宋_GB2312" w:hAnsi="仿宋_GB2312" w:cs="仿宋_GB2312"/>
                <w:sz w:val="24"/>
                <w:szCs w:val="24"/>
              </w:rPr>
            </w:pPr>
            <w:r>
              <w:rPr>
                <w:rFonts w:hint="eastAsia" w:ascii="仿宋_GB2312" w:hAnsi="仿宋_GB2312" w:cs="仿宋_GB2312"/>
                <w:sz w:val="24"/>
                <w:szCs w:val="24"/>
              </w:rPr>
              <w:t>6.办理时间、地点</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7.联系方式</w:t>
            </w:r>
          </w:p>
        </w:tc>
        <w:tc>
          <w:tcPr>
            <w:tcW w:w="569" w:type="pct"/>
            <w:vAlign w:val="center"/>
          </w:tcPr>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 xml:space="preserve">□两微一端  </w:t>
            </w:r>
            <w:r>
              <w:rPr>
                <w:rFonts w:hint="eastAsia" w:ascii="仿宋_GB2312" w:hAnsi="仿宋_GB2312" w:cs="仿宋_GB2312"/>
                <w:sz w:val="24"/>
                <w:szCs w:val="24"/>
              </w:rPr>
              <w:sym w:font="Wingdings 2" w:char="00A3"/>
            </w:r>
            <w:r>
              <w:rPr>
                <w:rFonts w:hint="eastAsia" w:ascii="仿宋_GB2312" w:hAnsi="仿宋_GB2312" w:cs="仿宋_GB2312"/>
                <w:sz w:val="24"/>
                <w:szCs w:val="24"/>
              </w:rPr>
              <w:t>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5</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sz w:val="24"/>
                <w:szCs w:val="24"/>
              </w:rPr>
            </w:pPr>
            <w:r>
              <w:rPr>
                <w:rFonts w:hint="eastAsia" w:ascii="仿宋_GB2312" w:hAnsi="仿宋_GB2312" w:cs="仿宋_GB2312"/>
                <w:sz w:val="24"/>
                <w:szCs w:val="24"/>
              </w:rPr>
              <w:t>2.村级：</w:t>
            </w:r>
            <w:r>
              <w:rPr>
                <w:rFonts w:hint="eastAsia" w:ascii="仿宋_GB2312" w:hAnsi="仿宋_GB2312" w:cs="仿宋_GB2312"/>
                <w:color w:val="000000"/>
                <w:sz w:val="24"/>
                <w:szCs w:val="24"/>
              </w:rPr>
              <w:t>户主</w:t>
            </w:r>
            <w:r>
              <w:rPr>
                <w:rFonts w:hint="eastAsia" w:ascii="仿宋_GB2312" w:hAnsi="仿宋_GB2312" w:cs="仿宋_GB2312"/>
                <w:sz w:val="24"/>
                <w:szCs w:val="24"/>
              </w:rPr>
              <w:t>姓名、</w:t>
            </w:r>
            <w:r>
              <w:rPr>
                <w:rFonts w:hint="eastAsia" w:ascii="仿宋_GB2312" w:hAnsi="仿宋_GB2312" w:cs="仿宋_GB2312"/>
                <w:color w:val="000000"/>
                <w:sz w:val="24"/>
                <w:szCs w:val="24"/>
              </w:rPr>
              <w:t>保障人口数、保障金额、致困原因、纳入时间、</w:t>
            </w:r>
            <w:r>
              <w:rPr>
                <w:rFonts w:hint="eastAsia" w:ascii="仿宋_GB2312" w:hAnsi="仿宋_GB2312" w:cs="仿宋_GB2312"/>
                <w:sz w:val="24"/>
                <w:szCs w:val="24"/>
              </w:rPr>
              <w:t>其它</w:t>
            </w:r>
          </w:p>
        </w:tc>
        <w:tc>
          <w:tcPr>
            <w:tcW w:w="569" w:type="pct"/>
          </w:tcPr>
          <w:p>
            <w:pPr>
              <w:jc w:val="left"/>
              <w:rPr>
                <w:rFonts w:ascii="仿宋_GB2312" w:hAnsi="仿宋_GB2312" w:cs="仿宋_GB2312"/>
                <w:sz w:val="24"/>
                <w:szCs w:val="24"/>
              </w:rPr>
            </w:pPr>
            <w:r>
              <w:rPr>
                <w:rFonts w:hint="eastAsia" w:ascii="仿宋_GB2312" w:hAnsi="仿宋_GB2312" w:cs="仿宋_GB2312"/>
                <w:sz w:val="24"/>
                <w:szCs w:val="24"/>
              </w:rPr>
              <w:t>《国务院关于进一步加强和改进最低生活保障工作的意见》（国发〔2012〕45号）</w:t>
            </w:r>
          </w:p>
          <w:p>
            <w:pPr>
              <w:jc w:val="left"/>
              <w:rPr>
                <w:rFonts w:ascii="仿宋_GB2312" w:hAnsi="仿宋_GB2312" w:cs="仿宋_GB2312"/>
                <w:sz w:val="24"/>
                <w:szCs w:val="24"/>
              </w:rPr>
            </w:pPr>
            <w:r>
              <w:rPr>
                <w:rFonts w:hint="eastAsia" w:ascii="仿宋_GB2312" w:hAnsi="仿宋_GB2312" w:cs="仿宋_GB2312"/>
                <w:sz w:val="24"/>
                <w:szCs w:val="24"/>
              </w:rPr>
              <w:t>等</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6</w:t>
            </w:r>
          </w:p>
        </w:tc>
        <w:tc>
          <w:tcPr>
            <w:tcW w:w="232" w:type="pct"/>
            <w:vMerge w:val="restart"/>
            <w:vAlign w:val="center"/>
          </w:tcPr>
          <w:p>
            <w:pP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特困人员救助供养</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1.《国务院关于进一步健全特困人员救助供养制度的意见》</w:t>
            </w:r>
            <w:r>
              <w:rPr>
                <w:rFonts w:hint="eastAsia" w:ascii="仿宋_GB2312" w:hAnsi="仿宋_GB2312" w:cs="仿宋_GB2312"/>
                <w:spacing w:val="-11"/>
                <w:sz w:val="24"/>
                <w:szCs w:val="24"/>
              </w:rPr>
              <w:t>（国发〔2016〕14号）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2.《民政部关于贯彻落实&lt;国务院关于进一步健全特困人员救助供养制度的意见&gt;的通知》（民发〔2016〕115号）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3.《河南省人民政府关于印发河南省特困人员救助供养办法的通知》（豫政〔2016〕79号）</w:t>
            </w:r>
          </w:p>
          <w:p>
            <w:pPr>
              <w:spacing w:line="260" w:lineRule="exact"/>
              <w:rPr>
                <w:rFonts w:ascii="仿宋_GB2312" w:hAnsi="仿宋_GB2312" w:cs="仿宋_GB2312"/>
                <w:sz w:val="24"/>
                <w:szCs w:val="24"/>
              </w:rPr>
            </w:pPr>
            <w:r>
              <w:rPr>
                <w:rFonts w:hint="eastAsia" w:ascii="仿宋_GB2312" w:hAnsi="仿宋_GB2312" w:cs="仿宋_GB2312"/>
                <w:sz w:val="24"/>
                <w:szCs w:val="24"/>
              </w:rPr>
              <w:t>4.各地配套政策法规文件</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7</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1.办理事项</w:t>
            </w:r>
          </w:p>
          <w:p>
            <w:pPr>
              <w:rPr>
                <w:rFonts w:ascii="仿宋_GB2312" w:hAnsi="仿宋_GB2312" w:cs="仿宋_GB2312"/>
                <w:sz w:val="24"/>
                <w:szCs w:val="24"/>
              </w:rPr>
            </w:pPr>
            <w:r>
              <w:rPr>
                <w:rFonts w:hint="eastAsia" w:ascii="仿宋_GB2312" w:hAnsi="仿宋_GB2312" w:cs="仿宋_GB2312"/>
                <w:sz w:val="24"/>
                <w:szCs w:val="24"/>
              </w:rPr>
              <w:t>2.办理条件</w:t>
            </w:r>
          </w:p>
          <w:p>
            <w:pPr>
              <w:rPr>
                <w:rFonts w:ascii="仿宋_GB2312" w:hAnsi="仿宋_GB2312" w:cs="仿宋_GB2312"/>
                <w:sz w:val="24"/>
                <w:szCs w:val="24"/>
              </w:rPr>
            </w:pPr>
            <w:r>
              <w:rPr>
                <w:rFonts w:hint="eastAsia" w:ascii="仿宋_GB2312" w:hAnsi="仿宋_GB2312" w:cs="仿宋_GB2312"/>
                <w:sz w:val="24"/>
                <w:szCs w:val="24"/>
              </w:rPr>
              <w:t>3.救助供养标准</w:t>
            </w:r>
          </w:p>
          <w:p>
            <w:pPr>
              <w:rPr>
                <w:rFonts w:ascii="仿宋_GB2312" w:hAnsi="仿宋_GB2312" w:cs="仿宋_GB2312"/>
                <w:sz w:val="24"/>
                <w:szCs w:val="24"/>
              </w:rPr>
            </w:pPr>
            <w:r>
              <w:rPr>
                <w:rFonts w:hint="eastAsia" w:ascii="仿宋_GB2312" w:hAnsi="仿宋_GB2312" w:cs="仿宋_GB2312"/>
                <w:sz w:val="24"/>
                <w:szCs w:val="24"/>
              </w:rPr>
              <w:t>4.申请材料</w:t>
            </w:r>
          </w:p>
          <w:p>
            <w:pPr>
              <w:rPr>
                <w:rFonts w:ascii="仿宋_GB2312" w:hAnsi="仿宋_GB2312" w:cs="仿宋_GB2312"/>
                <w:sz w:val="24"/>
                <w:szCs w:val="24"/>
              </w:rPr>
            </w:pPr>
            <w:r>
              <w:rPr>
                <w:rFonts w:hint="eastAsia" w:ascii="仿宋_GB2312" w:hAnsi="仿宋_GB2312" w:cs="仿宋_GB2312"/>
                <w:sz w:val="24"/>
                <w:szCs w:val="24"/>
              </w:rPr>
              <w:t>5.办理流程</w:t>
            </w:r>
          </w:p>
          <w:p>
            <w:pPr>
              <w:rPr>
                <w:rFonts w:ascii="仿宋_GB2312" w:hAnsi="仿宋_GB2312" w:cs="仿宋_GB2312"/>
                <w:sz w:val="24"/>
                <w:szCs w:val="24"/>
              </w:rPr>
            </w:pPr>
            <w:r>
              <w:rPr>
                <w:rFonts w:hint="eastAsia" w:ascii="仿宋_GB2312" w:hAnsi="仿宋_GB2312" w:cs="仿宋_GB2312"/>
                <w:sz w:val="24"/>
                <w:szCs w:val="24"/>
              </w:rPr>
              <w:t>6.办理时间、地点</w:t>
            </w:r>
          </w:p>
          <w:p>
            <w:pPr>
              <w:rPr>
                <w:rFonts w:ascii="仿宋_GB2312" w:hAnsi="仿宋_GB2312" w:cs="仿宋_GB2312"/>
                <w:sz w:val="24"/>
                <w:szCs w:val="24"/>
              </w:rPr>
            </w:pPr>
            <w:r>
              <w:rPr>
                <w:rFonts w:hint="eastAsia" w:ascii="仿宋_GB2312" w:hAnsi="仿宋_GB2312" w:cs="仿宋_GB2312"/>
                <w:sz w:val="24"/>
                <w:szCs w:val="24"/>
              </w:rPr>
              <w:t>7.联系方式</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8</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color w:val="000000"/>
                <w:sz w:val="24"/>
                <w:szCs w:val="24"/>
              </w:rPr>
            </w:pPr>
            <w:r>
              <w:rPr>
                <w:rFonts w:hint="eastAsia" w:ascii="仿宋_GB2312" w:hAnsi="仿宋_GB2312" w:cs="仿宋_GB2312"/>
                <w:sz w:val="24"/>
                <w:szCs w:val="24"/>
              </w:rPr>
              <w:t>2.村级：对象姓名、出生年月、纳入时间、其它</w:t>
            </w:r>
          </w:p>
          <w:p>
            <w:pPr>
              <w:spacing w:line="260" w:lineRule="exact"/>
              <w:rPr>
                <w:rFonts w:ascii="仿宋_GB2312" w:hAnsi="仿宋_GB2312" w:cs="仿宋_GB2312"/>
                <w:sz w:val="24"/>
                <w:szCs w:val="24"/>
              </w:rPr>
            </w:pPr>
          </w:p>
        </w:tc>
        <w:tc>
          <w:tcPr>
            <w:tcW w:w="569" w:type="pct"/>
            <w:vAlign w:val="center"/>
          </w:tcPr>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《国务院关于进一步健全特困人员救助供养制度的意见》（国发〔2016〕14号）</w:t>
            </w:r>
          </w:p>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《河南省人民政府关于印发河南省特困人员救助供养办法的通知》（豫政〔2016〕79号）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9</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临时救助</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spacing w:line="260" w:lineRule="exact"/>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p>
            <w:pPr>
              <w:spacing w:line="260" w:lineRule="exact"/>
              <w:rPr>
                <w:rFonts w:ascii="仿宋_GB2312" w:hAnsi="仿宋_GB2312" w:cs="仿宋_GB2312"/>
                <w:sz w:val="24"/>
                <w:szCs w:val="24"/>
              </w:rPr>
            </w:pPr>
            <w:r>
              <w:rPr>
                <w:rFonts w:hint="eastAsia" w:ascii="仿宋_GB2312" w:hAnsi="仿宋_GB2312" w:cs="仿宋_GB2312"/>
                <w:sz w:val="24"/>
                <w:szCs w:val="24"/>
              </w:rPr>
              <w:t>5.各地配套政策法规文件</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 xml:space="preserve">■政府网站  </w:t>
            </w:r>
            <w:r>
              <w:rPr>
                <w:rFonts w:hint="eastAsia" w:ascii="仿宋_GB2312" w:hAnsi="仿宋_GB2312" w:cs="仿宋_GB2312"/>
                <w:sz w:val="24"/>
                <w:szCs w:val="24"/>
              </w:rPr>
              <w:sym w:font="Wingdings 2" w:char="0052"/>
            </w:r>
            <w:r>
              <w:rPr>
                <w:rFonts w:hint="eastAsia" w:ascii="仿宋_GB2312" w:hAnsi="仿宋_GB2312" w:cs="仿宋_GB2312"/>
                <w:sz w:val="24"/>
                <w:szCs w:val="24"/>
              </w:rPr>
              <w:t>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10</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6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60" w:lineRule="exact"/>
              <w:rPr>
                <w:rFonts w:ascii="仿宋_GB2312" w:hAnsi="仿宋_GB2312" w:cs="仿宋_GB2312"/>
                <w:sz w:val="24"/>
                <w:szCs w:val="24"/>
              </w:rPr>
            </w:pPr>
            <w:r>
              <w:rPr>
                <w:rFonts w:hint="eastAsia" w:ascii="仿宋_GB2312" w:hAnsi="仿宋_GB2312" w:cs="仿宋_GB2312"/>
                <w:sz w:val="24"/>
                <w:szCs w:val="24"/>
              </w:rPr>
              <w:t>3.申请材料</w:t>
            </w:r>
          </w:p>
          <w:p>
            <w:pPr>
              <w:spacing w:line="260" w:lineRule="exact"/>
              <w:rPr>
                <w:rFonts w:ascii="仿宋_GB2312" w:hAnsi="仿宋_GB2312" w:cs="仿宋_GB2312"/>
                <w:sz w:val="24"/>
                <w:szCs w:val="24"/>
              </w:rPr>
            </w:pPr>
            <w:r>
              <w:rPr>
                <w:rFonts w:hint="eastAsia" w:ascii="仿宋_GB2312" w:hAnsi="仿宋_GB2312" w:cs="仿宋_GB2312"/>
                <w:sz w:val="24"/>
                <w:szCs w:val="24"/>
              </w:rPr>
              <w:t>4.办理流程</w:t>
            </w:r>
          </w:p>
          <w:p>
            <w:pPr>
              <w:spacing w:line="260" w:lineRule="exact"/>
              <w:rPr>
                <w:rFonts w:ascii="仿宋_GB2312" w:hAnsi="仿宋_GB2312" w:cs="仿宋_GB2312"/>
                <w:sz w:val="24"/>
                <w:szCs w:val="24"/>
              </w:rPr>
            </w:pPr>
            <w:r>
              <w:rPr>
                <w:rFonts w:hint="eastAsia" w:ascii="仿宋_GB2312" w:hAnsi="仿宋_GB2312" w:cs="仿宋_GB2312"/>
                <w:sz w:val="24"/>
                <w:szCs w:val="24"/>
              </w:rPr>
              <w:t>5.办理时间、地点</w:t>
            </w:r>
          </w:p>
          <w:p>
            <w:pPr>
              <w:spacing w:line="260" w:lineRule="exact"/>
              <w:rPr>
                <w:rFonts w:ascii="仿宋_GB2312" w:hAnsi="仿宋_GB2312" w:cs="仿宋_GB2312"/>
                <w:sz w:val="24"/>
                <w:szCs w:val="24"/>
              </w:rPr>
            </w:pPr>
            <w:r>
              <w:rPr>
                <w:rFonts w:hint="eastAsia" w:ascii="仿宋_GB2312" w:hAnsi="仿宋_GB2312" w:cs="仿宋_GB2312"/>
                <w:sz w:val="24"/>
                <w:szCs w:val="24"/>
              </w:rPr>
              <w:t>6.联系方式</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w:t>
            </w:r>
            <w:r>
              <w:rPr>
                <w:rFonts w:hint="eastAsia" w:ascii="仿宋_GB2312" w:hAnsi="仿宋_GB2312" w:cs="仿宋_GB2312"/>
                <w:sz w:val="24"/>
                <w:szCs w:val="24"/>
                <w:lang w:eastAsia="zh-CN"/>
              </w:rPr>
              <w:t>中华人民共和国</w:t>
            </w:r>
            <w:r>
              <w:rPr>
                <w:rFonts w:hint="eastAsia" w:ascii="仿宋_GB2312" w:hAnsi="仿宋_GB2312" w:cs="仿宋_GB2312"/>
                <w:sz w:val="24"/>
                <w:szCs w:val="24"/>
              </w:rPr>
              <w:t>国务院令第711号）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11</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1.乡级：辖区内各村的对象人数、救助总金额</w:t>
            </w:r>
          </w:p>
          <w:p>
            <w:pPr>
              <w:rPr>
                <w:rFonts w:ascii="仿宋_GB2312" w:hAnsi="仿宋_GB2312" w:cs="仿宋_GB2312"/>
                <w:sz w:val="24"/>
                <w:szCs w:val="24"/>
              </w:rPr>
            </w:pPr>
            <w:r>
              <w:rPr>
                <w:rFonts w:hint="eastAsia" w:ascii="仿宋_GB2312" w:hAnsi="仿宋_GB2312" w:cs="仿宋_GB2312"/>
                <w:sz w:val="24"/>
                <w:szCs w:val="24"/>
              </w:rPr>
              <w:t>2.村级：临时救助对象（家庭）姓名、救助人数、救助金额、救助事由</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制定或获取信息之日起10个工作日内，按季度公示</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bl>
    <w:p/>
    <w:sectPr>
      <w:footerReference r:id="rId3" w:type="first"/>
      <w:pgSz w:w="16838" w:h="11906" w:orient="landscape"/>
      <w:pgMar w:top="1587" w:right="2098" w:bottom="1474" w:left="1984" w:header="851" w:footer="1531"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8DA0"/>
    <w:multiLevelType w:val="singleLevel"/>
    <w:tmpl w:val="C4258D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4411"/>
    <w:rsid w:val="000E3005"/>
    <w:rsid w:val="000F0662"/>
    <w:rsid w:val="00124909"/>
    <w:rsid w:val="001F1F82"/>
    <w:rsid w:val="00284367"/>
    <w:rsid w:val="00394411"/>
    <w:rsid w:val="0046738A"/>
    <w:rsid w:val="004B584B"/>
    <w:rsid w:val="0064308F"/>
    <w:rsid w:val="00666C47"/>
    <w:rsid w:val="0093366B"/>
    <w:rsid w:val="00B41E28"/>
    <w:rsid w:val="00E438C3"/>
    <w:rsid w:val="00E97CED"/>
    <w:rsid w:val="00FB6E92"/>
    <w:rsid w:val="04F622F8"/>
    <w:rsid w:val="1CF421BE"/>
    <w:rsid w:val="2C373D53"/>
    <w:rsid w:val="2D59276F"/>
    <w:rsid w:val="2F174559"/>
    <w:rsid w:val="313A1CB8"/>
    <w:rsid w:val="36F269CB"/>
    <w:rsid w:val="46972E89"/>
    <w:rsid w:val="4DB60B49"/>
    <w:rsid w:val="614A1829"/>
    <w:rsid w:val="66BF3B86"/>
    <w:rsid w:val="66E1662E"/>
    <w:rsid w:val="738B550B"/>
    <w:rsid w:val="AFC7D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b/>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rFonts w:eastAsia="宋体"/>
      <w:kern w:val="0"/>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页眉 Char"/>
    <w:basedOn w:val="8"/>
    <w:link w:val="5"/>
    <w:qFormat/>
    <w:uiPriority w:val="0"/>
    <w:rPr>
      <w:rFonts w:ascii="Calibri" w:hAnsi="Calibri" w:eastAsia="仿宋_GB2312"/>
      <w:kern w:val="2"/>
      <w:sz w:val="18"/>
      <w:szCs w:val="18"/>
    </w:rPr>
  </w:style>
  <w:style w:type="character" w:customStyle="1" w:styleId="12">
    <w:name w:val="页脚 Char"/>
    <w:basedOn w:val="8"/>
    <w:link w:val="4"/>
    <w:qFormat/>
    <w:uiPriority w:val="99"/>
    <w:rPr>
      <w:rFonts w:ascii="Calibri" w:hAnsi="Calibri"/>
      <w:sz w:val="18"/>
      <w:szCs w:val="18"/>
    </w:rPr>
  </w:style>
  <w:style w:type="character" w:customStyle="1" w:styleId="13">
    <w:name w:val="批注框文本 Char"/>
    <w:basedOn w:val="8"/>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2955</Characters>
  <Lines>24</Lines>
  <Paragraphs>6</Paragraphs>
  <TotalTime>72</TotalTime>
  <ScaleCrop>false</ScaleCrop>
  <LinksUpToDate>false</LinksUpToDate>
  <CharactersWithSpaces>3467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cp:lastPrinted>2020-05-25T15:32:00Z</cp:lastPrinted>
  <dcterms:modified xsi:type="dcterms:W3CDTF">2022-08-08T09:23:27Z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