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Times New Roman" w:hAnsi="Times New Roman" w:eastAsia="仿宋_GB2312" w:cs="Times New Roman"/>
          <w:sz w:val="32"/>
        </w:rPr>
      </w:pPr>
    </w:p>
    <w:p>
      <w:pPr>
        <w:keepNext w:val="0"/>
        <w:keepLines w:val="0"/>
        <w:pageBreakBefore w:val="0"/>
        <w:widowControl w:val="0"/>
        <w:kinsoku/>
        <w:wordWrap/>
        <w:overflowPunct/>
        <w:topLinePunct w:val="0"/>
        <w:autoSpaceDE/>
        <w:autoSpaceDN/>
        <w:bidi w:val="0"/>
        <w:adjustRightInd/>
        <w:snapToGrid/>
        <w:spacing w:line="12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_GBK" w:hAnsi="方正小标宋_GBK" w:eastAsia="方正小标宋_GBK" w:cs="方正小标宋_GBK"/>
          <w:color w:val="FF0000"/>
          <w:w w:val="36"/>
          <w:sz w:val="90"/>
          <w:szCs w:val="90"/>
          <w:lang w:val="en-US" w:eastAsia="zh-CN"/>
        </w:rPr>
        <w:t>内乡县推进政府职能转变和“放管服”改革协调小组办公室文件</w:t>
      </w:r>
    </w:p>
    <w:p>
      <w:pPr>
        <w:keepNext w:val="0"/>
        <w:keepLines w:val="0"/>
        <w:pageBreakBefore w:val="0"/>
        <w:kinsoku/>
        <w:overflowPunct/>
        <w:topLinePunct w:val="0"/>
        <w:autoSpaceDE/>
        <w:autoSpaceDN/>
        <w:bidi w:val="0"/>
        <w:adjustRightInd/>
        <w:snapToGrid w:val="0"/>
        <w:spacing w:line="580" w:lineRule="exact"/>
        <w:jc w:val="center"/>
        <w:textAlignment w:val="auto"/>
        <w:rPr>
          <w:rFonts w:hint="eastAsia" w:ascii="Times New Roman" w:hAnsi="Times New Roman" w:cs="Times New Roman"/>
          <w:sz w:val="32"/>
          <w:szCs w:val="32"/>
          <w:lang w:eastAsia="zh-CN"/>
        </w:rPr>
      </w:pPr>
    </w:p>
    <w:p>
      <w:pPr>
        <w:keepNext w:val="0"/>
        <w:keepLines w:val="0"/>
        <w:pageBreakBefore w:val="0"/>
        <w:kinsoku/>
        <w:overflowPunct/>
        <w:topLinePunct w:val="0"/>
        <w:autoSpaceDE/>
        <w:autoSpaceDN/>
        <w:bidi w:val="0"/>
        <w:adjustRightInd/>
        <w:snapToGrid w:val="0"/>
        <w:spacing w:line="580" w:lineRule="exact"/>
        <w:jc w:val="center"/>
        <w:textAlignment w:val="auto"/>
        <w:rPr>
          <w:rFonts w:ascii="Times New Roman" w:hAnsi="Times New Roman" w:eastAsia="楷体_GB2312" w:cs="Times New Roman"/>
          <w:sz w:val="32"/>
          <w:szCs w:val="32"/>
        </w:rPr>
      </w:pPr>
      <w:r>
        <w:rPr>
          <w:rFonts w:hint="eastAsia" w:ascii="方正仿宋_GBK" w:hAnsi="方正仿宋_GBK" w:eastAsia="方正仿宋_GBK" w:cs="方正仿宋_GBK"/>
          <w:sz w:val="32"/>
          <w:szCs w:val="32"/>
          <w:lang w:eastAsia="zh-CN"/>
        </w:rPr>
        <w:t>内</w:t>
      </w:r>
      <w:r>
        <w:rPr>
          <w:rFonts w:hint="eastAsia" w:ascii="方正仿宋_GBK" w:hAnsi="方正仿宋_GBK" w:eastAsia="方正仿宋_GBK" w:cs="方正仿宋_GBK"/>
          <w:sz w:val="32"/>
          <w:szCs w:val="32"/>
          <w:lang w:val="en-US" w:eastAsia="zh-CN"/>
        </w:rPr>
        <w:t>放办</w:t>
      </w:r>
      <w:r>
        <w:rPr>
          <w:rFonts w:hint="eastAsia" w:ascii="方正仿宋_GBK" w:hAnsi="方正仿宋_GBK" w:eastAsia="方正仿宋_GBK" w:cs="方正仿宋_GBK"/>
          <w:sz w:val="32"/>
          <w:szCs w:val="32"/>
        </w:rPr>
        <w:t>〔20</w:t>
      </w:r>
      <w:r>
        <w:rPr>
          <w:rFonts w:hint="eastAsia" w:ascii="方正仿宋_GBK" w:hAnsi="方正仿宋_GBK" w:eastAsia="方正仿宋_GBK" w:cs="方正仿宋_GBK"/>
          <w:sz w:val="32"/>
          <w:szCs w:val="32"/>
          <w:lang w:val="en-US" w:eastAsia="zh-CN"/>
        </w:rPr>
        <w:t>23</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8</w:t>
      </w:r>
      <w:r>
        <w:rPr>
          <w:rFonts w:hint="eastAsia" w:ascii="方正仿宋_GBK" w:hAnsi="方正仿宋_GBK" w:eastAsia="方正仿宋_GBK" w:cs="方正仿宋_GBK"/>
          <w:sz w:val="32"/>
          <w:szCs w:val="32"/>
        </w:rPr>
        <w:t>号</w:t>
      </w:r>
    </w:p>
    <w:p>
      <w:pPr>
        <w:jc w:val="center"/>
        <w:rPr>
          <w:rFonts w:hint="eastAsia" w:ascii="黑体" w:hAnsi="黑体" w:eastAsia="黑体" w:cs="黑体"/>
          <w:sz w:val="44"/>
          <w:szCs w:val="44"/>
        </w:rPr>
      </w:pPr>
      <w:r>
        <w:rPr>
          <w:sz w:val="44"/>
        </w:rPr>
        <mc:AlternateContent>
          <mc:Choice Requires="wps">
            <w:drawing>
              <wp:anchor distT="0" distB="0" distL="114300" distR="114300" simplePos="0" relativeHeight="251659264" behindDoc="0" locked="0" layoutInCell="1" allowOverlap="1">
                <wp:simplePos x="0" y="0"/>
                <wp:positionH relativeFrom="column">
                  <wp:posOffset>8890</wp:posOffset>
                </wp:positionH>
                <wp:positionV relativeFrom="paragraph">
                  <wp:posOffset>170180</wp:posOffset>
                </wp:positionV>
                <wp:extent cx="5762625" cy="9525"/>
                <wp:effectExtent l="0" t="9525" r="9525" b="9525"/>
                <wp:wrapNone/>
                <wp:docPr id="1" name="直接连接符 1"/>
                <wp:cNvGraphicFramePr/>
                <a:graphic xmlns:a="http://schemas.openxmlformats.org/drawingml/2006/main">
                  <a:graphicData uri="http://schemas.microsoft.com/office/word/2010/wordprocessingShape">
                    <wps:wsp>
                      <wps:cNvCnPr/>
                      <wps:spPr>
                        <a:xfrm flipV="1">
                          <a:off x="908685" y="3296920"/>
                          <a:ext cx="5762625" cy="9525"/>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7pt;margin-top:13.4pt;height:0.75pt;width:453.75pt;z-index:251659264;mso-width-relative:page;mso-height-relative:page;" filled="f" stroked="t" coordsize="21600,21600" o:gfxdata="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lsXbXWAAAABwEAAA8AAAAAAAAAAQAgAAAAIgAAAGRycy9kb3ducmV2LnhtbFBLAQIUABQAAAAI&#10;AIdO4kCS/OOQ7wEAALMDAAAOAAAAAAAAAAEAIAAAACUBAABkcnMvZTJvRG9jLnhtbFBLBQYAAAAA&#10;BgAGAFkBAACGBQAAAAA=&#10;">
                <v:fill on="f" focussize="0,0"/>
                <v:stroke weight="1.5pt" color="#FF0000 [3204]" joinstyle="round"/>
                <v:imagedata o:title=""/>
                <o:lock v:ext="edit" aspectratio="f"/>
              </v:line>
            </w:pict>
          </mc:Fallback>
        </mc:AlternateContent>
      </w:r>
    </w:p>
    <w:p>
      <w:pPr>
        <w:spacing w:line="395" w:lineRule="auto"/>
        <w:rPr>
          <w:rFonts w:ascii="Arial"/>
          <w:sz w:val="21"/>
        </w:rPr>
      </w:pPr>
    </w:p>
    <w:p>
      <w:pPr>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hint="eastAsia" w:ascii="方正小标宋简体" w:hAnsi="方正小标宋简体" w:eastAsia="方正小标宋简体" w:cs="方正小标宋简体"/>
          <w:b w:val="0"/>
          <w:bCs w:val="0"/>
          <w:snapToGrid/>
          <w:color w:val="auto"/>
          <w:kern w:val="2"/>
          <w:sz w:val="44"/>
          <w:szCs w:val="44"/>
          <w:lang w:val="en-US" w:eastAsia="zh-CN" w:bidi="ar-SA"/>
        </w:rPr>
      </w:pPr>
      <w:r>
        <w:rPr>
          <w:rFonts w:hint="eastAsia" w:ascii="方正小标宋简体" w:hAnsi="方正小标宋简体" w:eastAsia="方正小标宋简体" w:cs="方正小标宋简体"/>
          <w:b w:val="0"/>
          <w:bCs w:val="0"/>
          <w:snapToGrid/>
          <w:color w:val="auto"/>
          <w:kern w:val="2"/>
          <w:sz w:val="44"/>
          <w:szCs w:val="44"/>
          <w:lang w:val="en-US" w:eastAsia="zh-CN" w:bidi="ar-SA"/>
        </w:rPr>
        <w:t>关于公布县直部门行政审批中介服务事项的</w:t>
      </w:r>
    </w:p>
    <w:p>
      <w:pPr>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hint="eastAsia" w:ascii="方正小标宋简体" w:hAnsi="方正小标宋简体" w:eastAsia="方正小标宋简体" w:cs="方正小标宋简体"/>
          <w:b w:val="0"/>
          <w:bCs w:val="0"/>
          <w:snapToGrid/>
          <w:color w:val="auto"/>
          <w:kern w:val="2"/>
          <w:sz w:val="44"/>
          <w:szCs w:val="44"/>
          <w:lang w:val="en-US" w:eastAsia="zh-CN" w:bidi="ar-SA"/>
        </w:rPr>
      </w:pPr>
      <w:r>
        <w:rPr>
          <w:rFonts w:hint="eastAsia" w:ascii="方正小标宋简体" w:hAnsi="方正小标宋简体" w:eastAsia="方正小标宋简体" w:cs="方正小标宋简体"/>
          <w:b w:val="0"/>
          <w:bCs w:val="0"/>
          <w:snapToGrid/>
          <w:color w:val="auto"/>
          <w:kern w:val="2"/>
          <w:sz w:val="44"/>
          <w:szCs w:val="44"/>
          <w:lang w:val="en-US" w:eastAsia="zh-CN" w:bidi="ar-SA"/>
        </w:rPr>
        <w:t>决    定</w:t>
      </w:r>
    </w:p>
    <w:p>
      <w:pPr>
        <w:spacing w:line="242" w:lineRule="auto"/>
        <w:rPr>
          <w:rFonts w:ascii="Arial"/>
          <w:sz w:val="21"/>
        </w:rPr>
      </w:pPr>
    </w:p>
    <w:p>
      <w:pPr>
        <w:spacing w:line="242" w:lineRule="auto"/>
        <w:rPr>
          <w:rFonts w:ascii="Arial"/>
          <w:sz w:val="21"/>
        </w:rPr>
      </w:pPr>
    </w:p>
    <w:p>
      <w:pPr>
        <w:keepNext w:val="0"/>
        <w:keepLines w:val="0"/>
        <w:pageBreakBefore w:val="0"/>
        <w:widowControl w:val="0"/>
        <w:kinsoku/>
        <w:wordWrap/>
        <w:overflowPunct/>
        <w:topLinePunct w:val="0"/>
        <w:autoSpaceDE/>
        <w:autoSpaceDN/>
        <w:bidi w:val="0"/>
        <w:adjustRightInd/>
        <w:snapToGrid w:val="0"/>
        <w:spacing w:line="580" w:lineRule="exact"/>
        <w:jc w:val="left"/>
        <w:textAlignment w:val="auto"/>
        <w:rPr>
          <w:rFonts w:hint="eastAsia" w:ascii="仿宋_GB2312" w:hAnsi="仿宋_GB2312" w:eastAsia="仿宋_GB2312" w:cs="仿宋_GB2312"/>
          <w:snapToGrid/>
          <w:color w:val="auto"/>
          <w:kern w:val="2"/>
          <w:sz w:val="32"/>
          <w:szCs w:val="32"/>
          <w:lang w:val="en-US" w:eastAsia="zh-CN" w:bidi="ar-SA"/>
        </w:rPr>
      </w:pPr>
      <w:r>
        <w:rPr>
          <w:rFonts w:hint="eastAsia" w:ascii="仿宋_GB2312" w:hAnsi="仿宋_GB2312" w:eastAsia="仿宋_GB2312" w:cs="仿宋_GB2312"/>
          <w:snapToGrid/>
          <w:color w:val="auto"/>
          <w:kern w:val="2"/>
          <w:sz w:val="32"/>
          <w:szCs w:val="32"/>
          <w:lang w:val="en-US" w:eastAsia="zh-CN" w:bidi="ar-SA"/>
        </w:rPr>
        <w:t>各乡镇人民政府、县直有关部门：</w:t>
      </w:r>
    </w:p>
    <w:p>
      <w:pPr>
        <w:keepNext w:val="0"/>
        <w:keepLines w:val="0"/>
        <w:pageBreakBefore w:val="0"/>
        <w:widowControl w:val="0"/>
        <w:kinsoku/>
        <w:wordWrap/>
        <w:overflowPunct/>
        <w:topLinePunct w:val="0"/>
        <w:autoSpaceDE/>
        <w:autoSpaceDN/>
        <w:bidi w:val="0"/>
        <w:adjustRightInd/>
        <w:snapToGrid w:val="0"/>
        <w:spacing w:line="580" w:lineRule="exact"/>
        <w:ind w:firstLine="640"/>
        <w:jc w:val="both"/>
        <w:textAlignment w:val="auto"/>
        <w:rPr>
          <w:rFonts w:hint="eastAsia" w:ascii="仿宋_GB2312" w:hAnsi="仿宋_GB2312" w:eastAsia="仿宋_GB2312" w:cs="仿宋_GB2312"/>
          <w:snapToGrid/>
          <w:color w:val="auto"/>
          <w:kern w:val="2"/>
          <w:sz w:val="32"/>
          <w:szCs w:val="32"/>
          <w:lang w:val="en-US" w:eastAsia="zh-CN" w:bidi="ar-SA"/>
        </w:rPr>
      </w:pPr>
      <w:r>
        <w:rPr>
          <w:rFonts w:hint="eastAsia" w:ascii="仿宋_GB2312" w:hAnsi="仿宋_GB2312" w:eastAsia="仿宋_GB2312" w:cs="仿宋_GB2312"/>
          <w:snapToGrid/>
          <w:color w:val="auto"/>
          <w:kern w:val="2"/>
          <w:sz w:val="32"/>
          <w:szCs w:val="32"/>
          <w:lang w:val="en-US" w:eastAsia="zh-CN" w:bidi="ar-SA"/>
        </w:rPr>
        <w:t>为进一步深化“放管服”改革，简化审批环节，提高审批效率，推进政府职能转变，深化行政审批制度改革，经梳理报县政府同意，现将</w:t>
      </w:r>
      <w:r>
        <w:rPr>
          <w:rFonts w:hint="default" w:ascii="Times New Roman" w:hAnsi="Times New Roman" w:eastAsia="仿宋_GB2312" w:cs="Times New Roman"/>
          <w:snapToGrid/>
          <w:color w:val="auto"/>
          <w:kern w:val="2"/>
          <w:sz w:val="32"/>
          <w:szCs w:val="32"/>
          <w:lang w:val="en-US" w:eastAsia="zh-CN" w:bidi="ar-SA"/>
        </w:rPr>
        <w:t>16</w:t>
      </w:r>
      <w:r>
        <w:rPr>
          <w:rFonts w:hint="eastAsia" w:ascii="仿宋_GB2312" w:hAnsi="仿宋_GB2312" w:eastAsia="仿宋_GB2312" w:cs="仿宋_GB2312"/>
          <w:snapToGrid/>
          <w:color w:val="auto"/>
          <w:kern w:val="2"/>
          <w:sz w:val="32"/>
          <w:szCs w:val="32"/>
          <w:lang w:val="en-US" w:eastAsia="zh-CN" w:bidi="ar-SA"/>
        </w:rPr>
        <w:t>个县直部门</w:t>
      </w:r>
      <w:r>
        <w:rPr>
          <w:rFonts w:hint="eastAsia" w:ascii="Times New Roman" w:hAnsi="Times New Roman" w:eastAsia="仿宋_GB2312" w:cs="Times New Roman"/>
          <w:snapToGrid/>
          <w:color w:val="auto"/>
          <w:kern w:val="2"/>
          <w:sz w:val="32"/>
          <w:szCs w:val="32"/>
          <w:lang w:val="en-US" w:eastAsia="zh-CN" w:bidi="ar-SA"/>
        </w:rPr>
        <w:t>54</w:t>
      </w:r>
      <w:r>
        <w:rPr>
          <w:rFonts w:hint="eastAsia" w:ascii="仿宋_GB2312" w:hAnsi="仿宋_GB2312" w:eastAsia="仿宋_GB2312" w:cs="仿宋_GB2312"/>
          <w:snapToGrid/>
          <w:color w:val="auto"/>
          <w:kern w:val="2"/>
          <w:sz w:val="32"/>
          <w:szCs w:val="32"/>
          <w:lang w:val="en-US" w:eastAsia="zh-CN" w:bidi="ar-SA"/>
        </w:rPr>
        <w:t>项行政审批中介服务事项清单予以公布。各乡镇人民政府、县直有关部门要严格按照公布的事项清单办理业务，规范行政审批中介服务行为，不得以任何形式指定中介服务机构。</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val="0"/>
        <w:spacing w:line="580" w:lineRule="exact"/>
        <w:ind w:left="1600" w:leftChars="200" w:hanging="960" w:hangingChars="300"/>
        <w:jc w:val="left"/>
        <w:textAlignment w:val="auto"/>
        <w:rPr>
          <w:rFonts w:hint="eastAsia" w:ascii="仿宋_GB2312" w:hAnsi="仿宋_GB2312" w:eastAsia="仿宋_GB2312" w:cs="仿宋_GB2312"/>
          <w:snapToGrid/>
          <w:color w:val="auto"/>
          <w:kern w:val="2"/>
          <w:sz w:val="32"/>
          <w:szCs w:val="32"/>
          <w:lang w:val="en-US" w:eastAsia="zh-CN" w:bidi="ar-SA"/>
        </w:rPr>
      </w:pPr>
      <w:r>
        <w:rPr>
          <w:rFonts w:hint="eastAsia" w:ascii="仿宋_GB2312" w:hAnsi="仿宋_GB2312" w:eastAsia="仿宋_GB2312" w:cs="仿宋_GB2312"/>
          <w:snapToGrid/>
          <w:color w:val="auto"/>
          <w:kern w:val="2"/>
          <w:sz w:val="32"/>
          <w:szCs w:val="32"/>
          <w:lang w:val="en-US" w:eastAsia="zh-CN" w:bidi="ar-SA"/>
        </w:rPr>
        <w:t>附件：内乡县县直部门行政审批中介服务事项清单(</w:t>
      </w:r>
      <w:r>
        <w:rPr>
          <w:rFonts w:hint="eastAsia" w:ascii="Times New Roman" w:hAnsi="Times New Roman" w:eastAsia="仿宋_GB2312" w:cs="Times New Roman"/>
          <w:snapToGrid/>
          <w:color w:val="auto"/>
          <w:kern w:val="2"/>
          <w:sz w:val="32"/>
          <w:szCs w:val="32"/>
          <w:lang w:val="en-US" w:eastAsia="zh-CN" w:bidi="ar-SA"/>
        </w:rPr>
        <w:t>16</w:t>
      </w:r>
      <w:r>
        <w:rPr>
          <w:rFonts w:hint="eastAsia" w:ascii="仿宋_GB2312" w:hAnsi="仿宋_GB2312" w:eastAsia="仿宋_GB2312" w:cs="仿宋_GB2312"/>
          <w:snapToGrid/>
          <w:color w:val="auto"/>
          <w:kern w:val="2"/>
          <w:sz w:val="32"/>
          <w:szCs w:val="32"/>
          <w:lang w:val="en-US" w:eastAsia="zh-CN" w:bidi="ar-SA"/>
        </w:rPr>
        <w:t>个单位</w:t>
      </w:r>
      <w:bookmarkStart w:id="0" w:name="_GoBack"/>
      <w:bookmarkEnd w:id="0"/>
      <w:r>
        <w:rPr>
          <w:rFonts w:hint="eastAsia" w:ascii="Times New Roman" w:hAnsi="Times New Roman" w:eastAsia="仿宋_GB2312" w:cs="Times New Roman"/>
          <w:snapToGrid/>
          <w:color w:val="auto"/>
          <w:kern w:val="2"/>
          <w:sz w:val="32"/>
          <w:szCs w:val="32"/>
          <w:lang w:val="en-US" w:eastAsia="zh-CN" w:bidi="ar-SA"/>
        </w:rPr>
        <w:t>54</w:t>
      </w:r>
      <w:r>
        <w:rPr>
          <w:rFonts w:hint="eastAsia" w:ascii="仿宋_GB2312" w:hAnsi="仿宋_GB2312" w:eastAsia="仿宋_GB2312" w:cs="仿宋_GB2312"/>
          <w:snapToGrid/>
          <w:color w:val="auto"/>
          <w:kern w:val="2"/>
          <w:sz w:val="32"/>
          <w:szCs w:val="32"/>
          <w:lang w:val="en-US" w:eastAsia="zh-CN" w:bidi="ar-SA"/>
        </w:rPr>
        <w:t>项事项)</w:t>
      </w:r>
    </w:p>
    <w:p>
      <w:pPr>
        <w:keepNext w:val="0"/>
        <w:keepLines w:val="0"/>
        <w:pageBreakBefore w:val="0"/>
        <w:widowControl w:val="0"/>
        <w:kinsoku/>
        <w:wordWrap/>
        <w:overflowPunct/>
        <w:topLinePunct w:val="0"/>
        <w:autoSpaceDE/>
        <w:autoSpaceDN/>
        <w:bidi w:val="0"/>
        <w:adjustRightInd/>
        <w:snapToGrid w:val="0"/>
        <w:spacing w:line="580" w:lineRule="exact"/>
        <w:jc w:val="left"/>
        <w:textAlignment w:val="auto"/>
        <w:rPr>
          <w:rFonts w:hint="eastAsia" w:ascii="仿宋_GB2312" w:hAnsi="仿宋_GB2312" w:eastAsia="仿宋_GB2312" w:cs="仿宋_GB2312"/>
          <w:snapToGrid/>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val="0"/>
        <w:spacing w:line="580" w:lineRule="exact"/>
        <w:jc w:val="left"/>
        <w:textAlignment w:val="auto"/>
        <w:rPr>
          <w:rFonts w:hint="eastAsia" w:ascii="仿宋_GB2312" w:hAnsi="仿宋_GB2312" w:eastAsia="仿宋_GB2312" w:cs="仿宋_GB2312"/>
          <w:snapToGrid/>
          <w:color w:val="auto"/>
          <w:kern w:val="2"/>
          <w:sz w:val="32"/>
          <w:szCs w:val="32"/>
          <w:lang w:val="en-US" w:eastAsia="zh-CN" w:bidi="ar-SA"/>
        </w:rPr>
      </w:pPr>
    </w:p>
    <w:p>
      <w:pPr>
        <w:keepNext w:val="0"/>
        <w:keepLines w:val="0"/>
        <w:pageBreakBefore w:val="0"/>
        <w:widowControl w:val="0"/>
        <w:kinsoku/>
        <w:wordWrap w:val="0"/>
        <w:overflowPunct/>
        <w:topLinePunct w:val="0"/>
        <w:autoSpaceDE/>
        <w:autoSpaceDN/>
        <w:bidi w:val="0"/>
        <w:adjustRightInd/>
        <w:snapToGrid w:val="0"/>
        <w:spacing w:line="580" w:lineRule="exact"/>
        <w:jc w:val="right"/>
        <w:textAlignment w:val="auto"/>
        <w:rPr>
          <w:rFonts w:hint="default"/>
          <w:lang w:val="en-US"/>
        </w:rPr>
        <w:sectPr>
          <w:footerReference r:id="rId3" w:type="default"/>
          <w:pgSz w:w="12110" w:h="16980"/>
          <w:pgMar w:top="1417" w:right="1420" w:bottom="1417" w:left="1417" w:header="737" w:footer="1134" w:gutter="0"/>
          <w:pgNumType w:fmt="numberInDash"/>
          <w:cols w:space="0" w:num="1"/>
          <w:rtlGutter w:val="0"/>
          <w:docGrid w:linePitch="0" w:charSpace="0"/>
        </w:sectPr>
      </w:pPr>
      <w:r>
        <w:rPr>
          <w:rFonts w:hint="eastAsia" w:ascii="Times New Roman" w:hAnsi="Times New Roman" w:eastAsia="仿宋_GB2312" w:cs="Times New Roman"/>
          <w:snapToGrid/>
          <w:color w:val="auto"/>
          <w:kern w:val="2"/>
          <w:sz w:val="32"/>
          <w:szCs w:val="32"/>
          <w:lang w:val="en-US" w:eastAsia="zh-CN" w:bidi="ar-SA"/>
        </w:rPr>
        <w:t>2023</w:t>
      </w:r>
      <w:r>
        <w:rPr>
          <w:rFonts w:hint="eastAsia" w:ascii="仿宋_GB2312" w:hAnsi="仿宋_GB2312" w:eastAsia="仿宋_GB2312" w:cs="仿宋_GB2312"/>
          <w:snapToGrid/>
          <w:color w:val="auto"/>
          <w:kern w:val="2"/>
          <w:sz w:val="32"/>
          <w:szCs w:val="32"/>
          <w:lang w:val="en-US" w:eastAsia="zh-CN" w:bidi="ar-SA"/>
        </w:rPr>
        <w:t>年</w:t>
      </w:r>
      <w:r>
        <w:rPr>
          <w:rFonts w:hint="eastAsia" w:cs="Times New Roman"/>
          <w:snapToGrid/>
          <w:color w:val="auto"/>
          <w:kern w:val="2"/>
          <w:sz w:val="32"/>
          <w:szCs w:val="32"/>
          <w:lang w:val="en-US" w:eastAsia="zh-CN" w:bidi="ar-SA"/>
        </w:rPr>
        <w:t>11</w:t>
      </w:r>
      <w:r>
        <w:rPr>
          <w:rFonts w:hint="eastAsia" w:ascii="仿宋_GB2312" w:hAnsi="仿宋_GB2312" w:eastAsia="仿宋_GB2312" w:cs="仿宋_GB2312"/>
          <w:snapToGrid/>
          <w:color w:val="auto"/>
          <w:kern w:val="2"/>
          <w:sz w:val="32"/>
          <w:szCs w:val="32"/>
          <w:lang w:val="en-US" w:eastAsia="zh-CN" w:bidi="ar-SA"/>
        </w:rPr>
        <w:t>月</w:t>
      </w:r>
      <w:r>
        <w:rPr>
          <w:rFonts w:hint="eastAsia" w:ascii="仿宋_GB2312" w:hAnsi="仿宋_GB2312" w:cs="仿宋_GB2312"/>
          <w:snapToGrid/>
          <w:color w:val="auto"/>
          <w:kern w:val="2"/>
          <w:sz w:val="32"/>
          <w:szCs w:val="32"/>
          <w:lang w:val="en-US" w:eastAsia="zh-CN" w:bidi="ar-SA"/>
        </w:rPr>
        <w:t>15</w:t>
      </w:r>
      <w:r>
        <w:rPr>
          <w:rFonts w:hint="eastAsia" w:ascii="仿宋_GB2312" w:hAnsi="仿宋_GB2312" w:eastAsia="仿宋_GB2312" w:cs="仿宋_GB2312"/>
          <w:snapToGrid/>
          <w:color w:val="auto"/>
          <w:kern w:val="2"/>
          <w:sz w:val="32"/>
          <w:szCs w:val="32"/>
          <w:lang w:val="en-US" w:eastAsia="zh-CN" w:bidi="ar-SA"/>
        </w:rPr>
        <w:t>日</w:t>
      </w:r>
      <w:r>
        <w:rPr>
          <w:rFonts w:hint="eastAsia" w:ascii="仿宋_GB2312" w:hAnsi="仿宋_GB2312" w:cs="仿宋_GB2312"/>
          <w:snapToGrid/>
          <w:color w:val="auto"/>
          <w:kern w:val="2"/>
          <w:sz w:val="32"/>
          <w:szCs w:val="3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val="0"/>
        <w:spacing w:line="580" w:lineRule="exact"/>
        <w:jc w:val="left"/>
        <w:textAlignment w:val="auto"/>
        <w:rPr>
          <w:rFonts w:hint="eastAsia" w:ascii="仿宋" w:hAnsi="仿宋" w:eastAsia="仿宋" w:cs="仿宋"/>
          <w:b w:val="0"/>
          <w:bCs w:val="0"/>
          <w:snapToGrid/>
          <w:color w:val="auto"/>
          <w:kern w:val="2"/>
          <w:sz w:val="32"/>
          <w:szCs w:val="32"/>
          <w:lang w:val="en-US" w:eastAsia="zh-CN" w:bidi="ar-SA"/>
        </w:rPr>
      </w:pPr>
      <w:r>
        <w:rPr>
          <w:rFonts w:hint="eastAsia" w:ascii="仿宋" w:hAnsi="仿宋" w:eastAsia="仿宋" w:cs="仿宋"/>
          <w:b w:val="0"/>
          <w:bCs w:val="0"/>
          <w:snapToGrid/>
          <w:color w:val="auto"/>
          <w:kern w:val="2"/>
          <w:sz w:val="32"/>
          <w:szCs w:val="32"/>
          <w:lang w:val="en-US" w:eastAsia="zh-CN" w:bidi="ar-SA"/>
        </w:rPr>
        <w:t>附件：</w:t>
      </w:r>
    </w:p>
    <w:p>
      <w:pPr>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hint="eastAsia" w:ascii="方正小标宋简体" w:hAnsi="方正小标宋简体" w:eastAsia="方正小标宋简体" w:cs="方正小标宋简体"/>
          <w:b w:val="0"/>
          <w:bCs w:val="0"/>
          <w:snapToGrid/>
          <w:color w:val="auto"/>
          <w:kern w:val="2"/>
          <w:sz w:val="44"/>
          <w:szCs w:val="44"/>
          <w:lang w:val="en-US" w:eastAsia="zh-CN" w:bidi="ar-SA"/>
        </w:rPr>
      </w:pPr>
      <w:r>
        <w:rPr>
          <w:rFonts w:hint="eastAsia" w:ascii="方正小标宋简体" w:hAnsi="方正小标宋简体" w:eastAsia="方正小标宋简体" w:cs="方正小标宋简体"/>
          <w:b w:val="0"/>
          <w:bCs w:val="0"/>
          <w:snapToGrid/>
          <w:color w:val="auto"/>
          <w:kern w:val="2"/>
          <w:sz w:val="44"/>
          <w:szCs w:val="44"/>
          <w:lang w:val="en-US" w:eastAsia="zh-CN" w:bidi="ar-SA"/>
        </w:rPr>
        <w:t>内乡县县直部门行政审批中介服务事项清单(</w:t>
      </w:r>
      <w:r>
        <w:rPr>
          <w:rFonts w:hint="default" w:ascii="Times New Roman" w:hAnsi="Times New Roman" w:eastAsia="方正小标宋简体" w:cs="Times New Roman"/>
          <w:b w:val="0"/>
          <w:bCs w:val="0"/>
          <w:snapToGrid/>
          <w:color w:val="auto"/>
          <w:kern w:val="2"/>
          <w:sz w:val="44"/>
          <w:szCs w:val="44"/>
          <w:lang w:val="en-US" w:eastAsia="zh-CN" w:bidi="ar-SA"/>
        </w:rPr>
        <w:t>1</w:t>
      </w:r>
      <w:r>
        <w:rPr>
          <w:rFonts w:hint="eastAsia" w:ascii="Times New Roman" w:hAnsi="Times New Roman" w:eastAsia="方正小标宋简体" w:cs="Times New Roman"/>
          <w:b w:val="0"/>
          <w:bCs w:val="0"/>
          <w:snapToGrid/>
          <w:color w:val="auto"/>
          <w:kern w:val="2"/>
          <w:sz w:val="44"/>
          <w:szCs w:val="44"/>
          <w:lang w:val="en-US" w:eastAsia="zh-CN" w:bidi="ar-SA"/>
        </w:rPr>
        <w:t>6</w:t>
      </w:r>
      <w:r>
        <w:rPr>
          <w:rFonts w:hint="eastAsia" w:ascii="方正小标宋简体" w:hAnsi="方正小标宋简体" w:eastAsia="方正小标宋简体" w:cs="方正小标宋简体"/>
          <w:b w:val="0"/>
          <w:bCs w:val="0"/>
          <w:snapToGrid/>
          <w:color w:val="auto"/>
          <w:kern w:val="2"/>
          <w:sz w:val="44"/>
          <w:szCs w:val="44"/>
          <w:lang w:val="en-US" w:eastAsia="zh-CN" w:bidi="ar-SA"/>
        </w:rPr>
        <w:t>个单位</w:t>
      </w:r>
      <w:r>
        <w:rPr>
          <w:rFonts w:hint="default" w:ascii="Times New Roman" w:hAnsi="Times New Roman" w:eastAsia="方正小标宋简体" w:cs="Times New Roman"/>
          <w:b w:val="0"/>
          <w:bCs w:val="0"/>
          <w:snapToGrid/>
          <w:color w:val="auto"/>
          <w:kern w:val="2"/>
          <w:sz w:val="44"/>
          <w:szCs w:val="44"/>
          <w:lang w:val="en-US" w:eastAsia="zh-CN" w:bidi="ar-SA"/>
        </w:rPr>
        <w:t>5</w:t>
      </w:r>
      <w:r>
        <w:rPr>
          <w:rFonts w:hint="eastAsia" w:ascii="Times New Roman" w:hAnsi="Times New Roman" w:eastAsia="方正小标宋简体" w:cs="Times New Roman"/>
          <w:b w:val="0"/>
          <w:bCs w:val="0"/>
          <w:snapToGrid/>
          <w:color w:val="auto"/>
          <w:kern w:val="2"/>
          <w:sz w:val="44"/>
          <w:szCs w:val="44"/>
          <w:lang w:val="en-US" w:eastAsia="zh-CN" w:bidi="ar-SA"/>
        </w:rPr>
        <w:t>4</w:t>
      </w:r>
      <w:r>
        <w:rPr>
          <w:rFonts w:hint="eastAsia" w:ascii="方正小标宋简体" w:hAnsi="方正小标宋简体" w:eastAsia="方正小标宋简体" w:cs="方正小标宋简体"/>
          <w:b w:val="0"/>
          <w:bCs w:val="0"/>
          <w:snapToGrid/>
          <w:color w:val="auto"/>
          <w:kern w:val="2"/>
          <w:sz w:val="44"/>
          <w:szCs w:val="44"/>
          <w:lang w:val="en-US" w:eastAsia="zh-CN" w:bidi="ar-SA"/>
        </w:rPr>
        <w:t>项事项)</w:t>
      </w:r>
    </w:p>
    <w:tbl>
      <w:tblPr>
        <w:tblStyle w:val="21"/>
        <w:tblW w:w="1549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5"/>
        <w:gridCol w:w="835"/>
        <w:gridCol w:w="1631"/>
        <w:gridCol w:w="1380"/>
        <w:gridCol w:w="7484"/>
        <w:gridCol w:w="1215"/>
        <w:gridCol w:w="965"/>
        <w:gridCol w:w="14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0" w:hRule="atLeast"/>
        </w:trPr>
        <w:tc>
          <w:tcPr>
            <w:tcW w:w="50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序号</w:t>
            </w:r>
          </w:p>
        </w:tc>
        <w:tc>
          <w:tcPr>
            <w:tcW w:w="83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99" w:firstLine="0"/>
              <w:jc w:val="center"/>
              <w:textAlignment w:val="auto"/>
              <w:rPr>
                <w:rFonts w:hint="eastAsia" w:asciiTheme="majorEastAsia" w:hAnsiTheme="majorEastAsia" w:eastAsiaTheme="majorEastAsia" w:cstheme="majorEastAsia"/>
                <w:b/>
                <w:bCs/>
                <w:sz w:val="21"/>
                <w:szCs w:val="21"/>
                <w:lang w:eastAsia="zh-CN"/>
              </w:rPr>
            </w:pPr>
            <w:r>
              <w:rPr>
                <w:rFonts w:hint="eastAsia" w:asciiTheme="majorEastAsia" w:hAnsiTheme="majorEastAsia" w:eastAsiaTheme="majorEastAsia" w:cstheme="majorEastAsia"/>
                <w:b/>
                <w:bCs/>
                <w:spacing w:val="-3"/>
                <w:sz w:val="21"/>
                <w:szCs w:val="21"/>
              </w:rPr>
              <w:t>行政审</w:t>
            </w:r>
            <w:r>
              <w:rPr>
                <w:rFonts w:hint="eastAsia" w:asciiTheme="majorEastAsia" w:hAnsiTheme="majorEastAsia" w:eastAsiaTheme="majorEastAsia" w:cstheme="majorEastAsia"/>
                <w:b/>
                <w:bCs/>
                <w:spacing w:val="-3"/>
                <w:sz w:val="21"/>
                <w:szCs w:val="21"/>
                <w:lang w:eastAsia="zh-CN"/>
              </w:rPr>
              <w:t>批部门</w:t>
            </w:r>
          </w:p>
        </w:tc>
        <w:tc>
          <w:tcPr>
            <w:tcW w:w="163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78" w:firstLine="0"/>
              <w:jc w:val="center"/>
              <w:textAlignment w:val="auto"/>
              <w:rPr>
                <w:rFonts w:hint="eastAsia" w:asciiTheme="majorEastAsia" w:hAnsiTheme="majorEastAsia" w:eastAsiaTheme="majorEastAsia" w:cstheme="majorEastAsia"/>
                <w:b/>
                <w:bCs/>
                <w:spacing w:val="1"/>
                <w:sz w:val="21"/>
                <w:szCs w:val="21"/>
              </w:rPr>
            </w:pPr>
            <w:r>
              <w:rPr>
                <w:rFonts w:hint="eastAsia" w:asciiTheme="majorEastAsia" w:hAnsiTheme="majorEastAsia" w:eastAsiaTheme="majorEastAsia" w:cstheme="majorEastAsia"/>
                <w:b/>
                <w:bCs/>
                <w:spacing w:val="1"/>
                <w:sz w:val="21"/>
                <w:szCs w:val="21"/>
              </w:rPr>
              <w:t>行政审批</w:t>
            </w:r>
          </w:p>
          <w:p>
            <w:pPr>
              <w:keepNext w:val="0"/>
              <w:keepLines w:val="0"/>
              <w:pageBreakBefore w:val="0"/>
              <w:widowControl w:val="0"/>
              <w:kinsoku/>
              <w:wordWrap/>
              <w:overflowPunct/>
              <w:topLinePunct w:val="0"/>
              <w:autoSpaceDE/>
              <w:autoSpaceDN/>
              <w:bidi w:val="0"/>
              <w:adjustRightInd/>
              <w:snapToGrid/>
              <w:spacing w:line="300" w:lineRule="exact"/>
              <w:ind w:left="0" w:right="78" w:firstLine="0"/>
              <w:jc w:val="center"/>
              <w:textAlignment w:val="auto"/>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pacing w:val="1"/>
                <w:sz w:val="21"/>
                <w:szCs w:val="21"/>
              </w:rPr>
              <w:t>事</w:t>
            </w:r>
            <w:r>
              <w:rPr>
                <w:rFonts w:hint="eastAsia" w:asciiTheme="majorEastAsia" w:hAnsiTheme="majorEastAsia" w:eastAsiaTheme="majorEastAsia" w:cstheme="majorEastAsia"/>
                <w:b/>
                <w:bCs/>
                <w:spacing w:val="3"/>
                <w:sz w:val="21"/>
                <w:szCs w:val="21"/>
              </w:rPr>
              <w:t>项名称</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b/>
                <w:bCs/>
                <w:spacing w:val="-2"/>
                <w:sz w:val="21"/>
                <w:szCs w:val="21"/>
              </w:rPr>
            </w:pPr>
            <w:r>
              <w:rPr>
                <w:rFonts w:hint="eastAsia" w:asciiTheme="majorEastAsia" w:hAnsiTheme="majorEastAsia" w:eastAsiaTheme="majorEastAsia" w:cstheme="majorEastAsia"/>
                <w:b/>
                <w:bCs/>
                <w:spacing w:val="-2"/>
                <w:sz w:val="21"/>
                <w:szCs w:val="21"/>
              </w:rPr>
              <w:t>涉及中介</w:t>
            </w:r>
          </w:p>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pacing w:val="-2"/>
                <w:sz w:val="21"/>
                <w:szCs w:val="21"/>
              </w:rPr>
              <w:t>服务</w:t>
            </w:r>
            <w:r>
              <w:rPr>
                <w:rFonts w:hint="eastAsia" w:asciiTheme="majorEastAsia" w:hAnsiTheme="majorEastAsia" w:eastAsiaTheme="majorEastAsia" w:cstheme="majorEastAsia"/>
                <w:b/>
                <w:bCs/>
                <w:spacing w:val="6"/>
                <w:sz w:val="21"/>
                <w:szCs w:val="21"/>
              </w:rPr>
              <w:t>事项</w:t>
            </w:r>
          </w:p>
        </w:tc>
        <w:tc>
          <w:tcPr>
            <w:tcW w:w="748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pacing w:val="-4"/>
                <w:sz w:val="21"/>
                <w:szCs w:val="21"/>
              </w:rPr>
              <w:t>设定依据及所需材料</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31" w:firstLine="0"/>
              <w:jc w:val="center"/>
              <w:textAlignment w:val="auto"/>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pacing w:val="6"/>
                <w:sz w:val="21"/>
                <w:szCs w:val="21"/>
              </w:rPr>
              <w:t>中介服务项目</w:t>
            </w:r>
            <w:r>
              <w:rPr>
                <w:rFonts w:hint="eastAsia" w:asciiTheme="majorEastAsia" w:hAnsiTheme="majorEastAsia" w:eastAsiaTheme="majorEastAsia" w:cstheme="majorEastAsia"/>
                <w:b/>
                <w:bCs/>
                <w:spacing w:val="3"/>
                <w:sz w:val="21"/>
                <w:szCs w:val="21"/>
              </w:rPr>
              <w:t>实施机构</w:t>
            </w:r>
          </w:p>
        </w:tc>
        <w:tc>
          <w:tcPr>
            <w:tcW w:w="96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pacing w:val="5"/>
                <w:sz w:val="21"/>
                <w:szCs w:val="21"/>
              </w:rPr>
              <w:t>时限</w:t>
            </w:r>
          </w:p>
        </w:tc>
        <w:tc>
          <w:tcPr>
            <w:tcW w:w="14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b/>
                <w:bCs/>
                <w:spacing w:val="3"/>
                <w:sz w:val="21"/>
                <w:szCs w:val="21"/>
              </w:rPr>
            </w:pPr>
            <w:r>
              <w:rPr>
                <w:rFonts w:hint="eastAsia" w:asciiTheme="majorEastAsia" w:hAnsiTheme="majorEastAsia" w:eastAsiaTheme="majorEastAsia" w:cstheme="majorEastAsia"/>
                <w:b/>
                <w:bCs/>
                <w:spacing w:val="2"/>
                <w:sz w:val="21"/>
                <w:szCs w:val="21"/>
              </w:rPr>
              <w:t>收费标</w:t>
            </w:r>
            <w:r>
              <w:rPr>
                <w:rFonts w:hint="eastAsia" w:asciiTheme="majorEastAsia" w:hAnsiTheme="majorEastAsia" w:eastAsiaTheme="majorEastAsia" w:cstheme="majorEastAsia"/>
                <w:b/>
                <w:bCs/>
                <w:spacing w:val="3"/>
                <w:sz w:val="21"/>
                <w:szCs w:val="21"/>
              </w:rPr>
              <w:t>准</w:t>
            </w:r>
          </w:p>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pacing w:val="3"/>
                <w:sz w:val="21"/>
                <w:szCs w:val="21"/>
              </w:rPr>
              <w:t>及依</w:t>
            </w:r>
            <w:r>
              <w:rPr>
                <w:rFonts w:hint="eastAsia" w:asciiTheme="majorEastAsia" w:hAnsiTheme="majorEastAsia" w:eastAsiaTheme="majorEastAsia" w:cstheme="majorEastAsia"/>
                <w:b/>
                <w:bCs/>
                <w:sz w:val="21"/>
                <w:szCs w:val="21"/>
              </w:rPr>
              <w:t>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50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1</w:t>
            </w:r>
          </w:p>
        </w:tc>
        <w:tc>
          <w:tcPr>
            <w:tcW w:w="83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4"/>
                <w:sz w:val="21"/>
                <w:szCs w:val="21"/>
              </w:rPr>
              <w:t>县应急</w:t>
            </w:r>
            <w:r>
              <w:rPr>
                <w:rFonts w:hint="eastAsia" w:asciiTheme="majorEastAsia" w:hAnsiTheme="majorEastAsia" w:eastAsiaTheme="majorEastAsia" w:cstheme="majorEastAsia"/>
                <w:spacing w:val="4"/>
                <w:sz w:val="21"/>
                <w:szCs w:val="21"/>
                <w:lang w:val="en-US" w:eastAsia="zh-CN"/>
              </w:rPr>
              <w:t>管理</w:t>
            </w:r>
            <w:r>
              <w:rPr>
                <w:rFonts w:hint="eastAsia" w:asciiTheme="majorEastAsia" w:hAnsiTheme="majorEastAsia" w:eastAsiaTheme="majorEastAsia" w:cstheme="majorEastAsia"/>
                <w:spacing w:val="4"/>
                <w:sz w:val="21"/>
                <w:szCs w:val="21"/>
              </w:rPr>
              <w:t>局</w:t>
            </w:r>
          </w:p>
        </w:tc>
        <w:tc>
          <w:tcPr>
            <w:tcW w:w="163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4"/>
                <w:sz w:val="21"/>
                <w:szCs w:val="21"/>
              </w:rPr>
              <w:t>危险化学品</w:t>
            </w:r>
          </w:p>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2"/>
                <w:sz w:val="21"/>
                <w:szCs w:val="21"/>
              </w:rPr>
              <w:t>重大危险源</w:t>
            </w:r>
          </w:p>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5"/>
                <w:sz w:val="21"/>
                <w:szCs w:val="21"/>
              </w:rPr>
              <w:t>备案</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2"/>
                <w:sz w:val="21"/>
                <w:szCs w:val="21"/>
              </w:rPr>
              <w:t>安全评估报告</w:t>
            </w:r>
            <w:r>
              <w:rPr>
                <w:rFonts w:hint="eastAsia" w:asciiTheme="majorEastAsia" w:hAnsiTheme="majorEastAsia" w:eastAsiaTheme="majorEastAsia" w:cstheme="majorEastAsia"/>
                <w:spacing w:val="-2"/>
                <w:sz w:val="21"/>
                <w:szCs w:val="21"/>
              </w:rPr>
              <w:t>或者安全评价</w:t>
            </w:r>
            <w:r>
              <w:rPr>
                <w:rFonts w:hint="eastAsia" w:asciiTheme="majorEastAsia" w:hAnsiTheme="majorEastAsia" w:eastAsiaTheme="majorEastAsia" w:cstheme="majorEastAsia"/>
                <w:spacing w:val="7"/>
                <w:sz w:val="21"/>
                <w:szCs w:val="21"/>
              </w:rPr>
              <w:t>报告</w:t>
            </w:r>
          </w:p>
        </w:tc>
        <w:tc>
          <w:tcPr>
            <w:tcW w:w="748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lef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11"/>
                <w:sz w:val="21"/>
                <w:szCs w:val="21"/>
              </w:rPr>
              <w:t>《危险化学品重大危险源监督管理暂行规定》第二十三条危险化学品单位在完成重大危险源安全评估报告或者安全评价报告后15日内，应当填写重大危</w:t>
            </w:r>
            <w:r>
              <w:rPr>
                <w:rFonts w:hint="eastAsia" w:asciiTheme="majorEastAsia" w:hAnsiTheme="majorEastAsia" w:eastAsiaTheme="majorEastAsia" w:cstheme="majorEastAsia"/>
                <w:spacing w:val="10"/>
                <w:sz w:val="21"/>
                <w:szCs w:val="21"/>
              </w:rPr>
              <w:t>险源备案申请表，连同本规定第二十二条规定</w:t>
            </w:r>
            <w:r>
              <w:rPr>
                <w:rFonts w:hint="eastAsia" w:asciiTheme="majorEastAsia" w:hAnsiTheme="majorEastAsia" w:eastAsiaTheme="majorEastAsia" w:cstheme="majorEastAsia"/>
                <w:spacing w:val="13"/>
                <w:sz w:val="21"/>
                <w:szCs w:val="21"/>
              </w:rPr>
              <w:t>的重大危险源档案材料(其中第二款第五项规定的文件资料只</w:t>
            </w:r>
            <w:r>
              <w:rPr>
                <w:rFonts w:hint="eastAsia" w:asciiTheme="majorEastAsia" w:hAnsiTheme="majorEastAsia" w:eastAsiaTheme="majorEastAsia" w:cstheme="majorEastAsia"/>
                <w:spacing w:val="12"/>
                <w:sz w:val="21"/>
                <w:szCs w:val="21"/>
              </w:rPr>
              <w:t>需提供清单),报送所在地县级人民政</w:t>
            </w:r>
            <w:r>
              <w:rPr>
                <w:rFonts w:hint="eastAsia" w:asciiTheme="majorEastAsia" w:hAnsiTheme="majorEastAsia" w:eastAsiaTheme="majorEastAsia" w:cstheme="majorEastAsia"/>
                <w:spacing w:val="7"/>
                <w:sz w:val="21"/>
                <w:szCs w:val="21"/>
              </w:rPr>
              <w:t>府安全生产监督管理部门备案</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3"/>
                <w:sz w:val="21"/>
                <w:szCs w:val="21"/>
              </w:rPr>
              <w:t>具有相应资质</w:t>
            </w:r>
            <w:r>
              <w:rPr>
                <w:rFonts w:hint="eastAsia" w:asciiTheme="majorEastAsia" w:hAnsiTheme="majorEastAsia" w:eastAsiaTheme="majorEastAsia" w:cstheme="majorEastAsia"/>
                <w:spacing w:val="2"/>
                <w:sz w:val="21"/>
                <w:szCs w:val="21"/>
              </w:rPr>
              <w:t>的检测机构</w:t>
            </w:r>
          </w:p>
        </w:tc>
        <w:tc>
          <w:tcPr>
            <w:tcW w:w="96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76" w:firstLine="0"/>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4"/>
                <w:sz w:val="21"/>
                <w:szCs w:val="21"/>
              </w:rPr>
              <w:t>双方</w:t>
            </w:r>
            <w:r>
              <w:rPr>
                <w:rFonts w:hint="eastAsia" w:asciiTheme="majorEastAsia" w:hAnsiTheme="majorEastAsia" w:eastAsiaTheme="majorEastAsia" w:cstheme="majorEastAsia"/>
                <w:spacing w:val="6"/>
                <w:sz w:val="21"/>
                <w:szCs w:val="21"/>
              </w:rPr>
              <w:t>协商</w:t>
            </w:r>
          </w:p>
        </w:tc>
        <w:tc>
          <w:tcPr>
            <w:tcW w:w="14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8" w:firstLine="0"/>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5"/>
                <w:sz w:val="21"/>
                <w:szCs w:val="21"/>
              </w:rPr>
              <w:t>市场调</w:t>
            </w:r>
            <w:r>
              <w:rPr>
                <w:rFonts w:hint="eastAsia" w:asciiTheme="majorEastAsia" w:hAnsiTheme="majorEastAsia" w:eastAsiaTheme="majorEastAsia" w:cstheme="majorEastAsia"/>
                <w:spacing w:val="-2"/>
                <w:sz w:val="21"/>
                <w:szCs w:val="21"/>
              </w:rPr>
              <w:t>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0" w:hRule="atLeast"/>
        </w:trPr>
        <w:tc>
          <w:tcPr>
            <w:tcW w:w="50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210" w:firstLineChars="100"/>
              <w:jc w:val="center"/>
              <w:textAlignment w:val="auto"/>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val="en-US" w:eastAsia="zh-CN"/>
              </w:rPr>
              <w:t>2</w:t>
            </w:r>
          </w:p>
        </w:tc>
        <w:tc>
          <w:tcPr>
            <w:tcW w:w="83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县应急</w:t>
            </w:r>
          </w:p>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lang w:val="en-US" w:eastAsia="zh-CN"/>
              </w:rPr>
              <w:t>管理</w:t>
            </w:r>
            <w:r>
              <w:rPr>
                <w:rFonts w:hint="eastAsia" w:asciiTheme="majorEastAsia" w:hAnsiTheme="majorEastAsia" w:eastAsiaTheme="majorEastAsia" w:cstheme="majorEastAsia"/>
                <w:spacing w:val="6"/>
                <w:sz w:val="21"/>
                <w:szCs w:val="21"/>
              </w:rPr>
              <w:t>局</w:t>
            </w:r>
          </w:p>
        </w:tc>
        <w:tc>
          <w:tcPr>
            <w:tcW w:w="163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危险化学品生产、储存建设项目安全设施设计审查(简易程序)一适用于加油站建设项目</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建设项目安全</w:t>
            </w:r>
          </w:p>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设施设计专篇、建设项目安全评价报告</w:t>
            </w:r>
          </w:p>
        </w:tc>
        <w:tc>
          <w:tcPr>
            <w:tcW w:w="748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left"/>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危险化学品建设项目安全监督管理办法》第十六条建设单位应当在建设项目初步设计完成后、详细设计开始前，向出具建设项目安全条件审查意见书的安全生产监督管理部门申请建设项目安全设施设计审查，提交下列文件、资料，并对其真实性负责</w:t>
            </w:r>
            <w:r>
              <w:rPr>
                <w:rFonts w:hint="eastAsia" w:asciiTheme="majorEastAsia" w:hAnsiTheme="majorEastAsia" w:eastAsiaTheme="majorEastAsia" w:cstheme="majorEastAsia"/>
                <w:spacing w:val="6"/>
                <w:sz w:val="21"/>
                <w:szCs w:val="21"/>
                <w:lang w:eastAsia="zh-CN"/>
              </w:rPr>
              <w:t>：</w:t>
            </w:r>
            <w:r>
              <w:rPr>
                <w:rFonts w:hint="eastAsia" w:asciiTheme="majorEastAsia" w:hAnsiTheme="majorEastAsia" w:eastAsiaTheme="majorEastAsia" w:cstheme="majorEastAsia"/>
                <w:spacing w:val="6"/>
                <w:sz w:val="21"/>
                <w:szCs w:val="21"/>
              </w:rPr>
              <w:t>(一)建设项目安全设施设计审查申请书及文件</w:t>
            </w:r>
            <w:r>
              <w:rPr>
                <w:rFonts w:hint="eastAsia" w:asciiTheme="majorEastAsia" w:hAnsiTheme="majorEastAsia" w:eastAsiaTheme="majorEastAsia" w:cstheme="majorEastAsia"/>
                <w:spacing w:val="6"/>
                <w:sz w:val="21"/>
                <w:szCs w:val="21"/>
                <w:lang w:eastAsia="zh-CN"/>
              </w:rPr>
              <w:t>；</w:t>
            </w:r>
            <w:r>
              <w:rPr>
                <w:rFonts w:hint="eastAsia" w:asciiTheme="majorEastAsia" w:hAnsiTheme="majorEastAsia" w:eastAsiaTheme="majorEastAsia" w:cstheme="majorEastAsia"/>
                <w:spacing w:val="6"/>
                <w:sz w:val="21"/>
                <w:szCs w:val="21"/>
              </w:rPr>
              <w:t>(二)设计单位的设计资质证明文件(复制件)</w:t>
            </w:r>
            <w:r>
              <w:rPr>
                <w:rFonts w:hint="eastAsia" w:asciiTheme="majorEastAsia" w:hAnsiTheme="majorEastAsia" w:eastAsiaTheme="majorEastAsia" w:cstheme="majorEastAsia"/>
                <w:spacing w:val="6"/>
                <w:sz w:val="21"/>
                <w:szCs w:val="21"/>
                <w:lang w:eastAsia="zh-CN"/>
              </w:rPr>
              <w:t>；</w:t>
            </w:r>
            <w:r>
              <w:rPr>
                <w:rFonts w:hint="eastAsia" w:asciiTheme="majorEastAsia" w:hAnsiTheme="majorEastAsia" w:eastAsiaTheme="majorEastAsia" w:cstheme="majorEastAsia"/>
                <w:spacing w:val="6"/>
                <w:sz w:val="21"/>
                <w:szCs w:val="21"/>
              </w:rPr>
              <w:t>(三)建设项目安全设施设计专篇。</w:t>
            </w:r>
          </w:p>
          <w:p>
            <w:pPr>
              <w:keepNext w:val="0"/>
              <w:keepLines w:val="0"/>
              <w:pageBreakBefore w:val="0"/>
              <w:widowControl w:val="0"/>
              <w:kinsoku/>
              <w:wordWrap/>
              <w:overflowPunct/>
              <w:topLinePunct w:val="0"/>
              <w:autoSpaceDE/>
              <w:autoSpaceDN/>
              <w:bidi w:val="0"/>
              <w:adjustRightInd/>
              <w:snapToGrid/>
              <w:spacing w:line="300" w:lineRule="exact"/>
              <w:ind w:left="0" w:firstLine="0"/>
              <w:jc w:val="left"/>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第四十条对于规模较小、危险程度较低和工艺路线简单的建设项目，安全生产监督管理部门可以适当简化建设项目安全审查的程序和内容。(二)设计单位的设计资质证明文件(复制件)</w:t>
            </w:r>
            <w:r>
              <w:rPr>
                <w:rFonts w:hint="eastAsia" w:asciiTheme="majorEastAsia" w:hAnsiTheme="majorEastAsia" w:eastAsiaTheme="majorEastAsia" w:cstheme="majorEastAsia"/>
                <w:spacing w:val="6"/>
                <w:sz w:val="21"/>
                <w:szCs w:val="21"/>
                <w:lang w:eastAsia="zh-CN"/>
              </w:rPr>
              <w:t>；</w:t>
            </w:r>
            <w:r>
              <w:rPr>
                <w:rFonts w:hint="eastAsia" w:asciiTheme="majorEastAsia" w:hAnsiTheme="majorEastAsia" w:eastAsiaTheme="majorEastAsia" w:cstheme="majorEastAsia"/>
                <w:spacing w:val="6"/>
                <w:sz w:val="21"/>
                <w:szCs w:val="21"/>
              </w:rPr>
              <w:t>(三)建设项目安全设施设计专篇</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具有相应资质的检测机构</w:t>
            </w:r>
          </w:p>
        </w:tc>
        <w:tc>
          <w:tcPr>
            <w:tcW w:w="96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双方协商</w:t>
            </w:r>
          </w:p>
        </w:tc>
        <w:tc>
          <w:tcPr>
            <w:tcW w:w="14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50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210" w:firstLineChars="100"/>
              <w:jc w:val="center"/>
              <w:textAlignment w:val="auto"/>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val="en-US" w:eastAsia="zh-CN"/>
              </w:rPr>
              <w:t>3</w:t>
            </w:r>
          </w:p>
        </w:tc>
        <w:tc>
          <w:tcPr>
            <w:tcW w:w="83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县交通</w:t>
            </w:r>
          </w:p>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lang w:val="en-US" w:eastAsia="zh-CN"/>
              </w:rPr>
              <w:t>运输</w:t>
            </w:r>
            <w:r>
              <w:rPr>
                <w:rFonts w:hint="eastAsia" w:asciiTheme="majorEastAsia" w:hAnsiTheme="majorEastAsia" w:eastAsiaTheme="majorEastAsia" w:cstheme="majorEastAsia"/>
                <w:spacing w:val="6"/>
                <w:sz w:val="21"/>
                <w:szCs w:val="21"/>
              </w:rPr>
              <w:t>局</w:t>
            </w:r>
          </w:p>
        </w:tc>
        <w:tc>
          <w:tcPr>
            <w:tcW w:w="163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公路建筑控制区内埋设管线、电缆等设施许可</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安全评价报告</w:t>
            </w:r>
          </w:p>
        </w:tc>
        <w:tc>
          <w:tcPr>
            <w:tcW w:w="748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left"/>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《公路安全保护条例》中华人民共和国国务院令第593号第二十八条第二项申请进行涉路施工活动的建设单位应当向公路管理机构提交下列材料</w:t>
            </w:r>
            <w:r>
              <w:rPr>
                <w:rFonts w:hint="eastAsia" w:asciiTheme="majorEastAsia" w:hAnsiTheme="majorEastAsia" w:eastAsiaTheme="majorEastAsia" w:cstheme="majorEastAsia"/>
                <w:spacing w:val="6"/>
                <w:sz w:val="21"/>
                <w:szCs w:val="21"/>
                <w:lang w:eastAsia="zh-CN"/>
              </w:rPr>
              <w:t>：</w:t>
            </w:r>
            <w:r>
              <w:rPr>
                <w:rFonts w:hint="eastAsia" w:asciiTheme="majorEastAsia" w:hAnsiTheme="majorEastAsia" w:eastAsiaTheme="majorEastAsia" w:cstheme="majorEastAsia"/>
                <w:spacing w:val="6"/>
                <w:sz w:val="21"/>
                <w:szCs w:val="21"/>
              </w:rPr>
              <w:t>(二)保障公路、公路附属设施质量和安全的技术评价报告</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lang w:val="en-US" w:eastAsia="zh-CN"/>
              </w:rPr>
            </w:pPr>
            <w:r>
              <w:rPr>
                <w:rFonts w:hint="eastAsia" w:asciiTheme="majorEastAsia" w:hAnsiTheme="majorEastAsia" w:eastAsiaTheme="majorEastAsia" w:cstheme="majorEastAsia"/>
                <w:spacing w:val="6"/>
                <w:sz w:val="21"/>
                <w:szCs w:val="21"/>
              </w:rPr>
              <w:t>具有</w:t>
            </w:r>
            <w:r>
              <w:rPr>
                <w:rFonts w:hint="eastAsia" w:asciiTheme="majorEastAsia" w:hAnsiTheme="majorEastAsia" w:eastAsiaTheme="majorEastAsia" w:cstheme="majorEastAsia"/>
                <w:spacing w:val="6"/>
                <w:sz w:val="21"/>
                <w:szCs w:val="21"/>
                <w:lang w:val="en-US" w:eastAsia="zh-CN"/>
              </w:rPr>
              <w:t>安全评价</w:t>
            </w:r>
            <w:r>
              <w:rPr>
                <w:rFonts w:hint="eastAsia" w:asciiTheme="majorEastAsia" w:hAnsiTheme="majorEastAsia" w:eastAsiaTheme="majorEastAsia" w:cstheme="majorEastAsia"/>
                <w:spacing w:val="6"/>
                <w:sz w:val="21"/>
                <w:szCs w:val="21"/>
              </w:rPr>
              <w:t>资质</w:t>
            </w:r>
            <w:r>
              <w:rPr>
                <w:rFonts w:hint="eastAsia" w:asciiTheme="majorEastAsia" w:hAnsiTheme="majorEastAsia" w:eastAsiaTheme="majorEastAsia" w:cstheme="majorEastAsia"/>
                <w:spacing w:val="6"/>
                <w:sz w:val="21"/>
                <w:szCs w:val="21"/>
                <w:lang w:val="en-US" w:eastAsia="zh-CN"/>
              </w:rPr>
              <w:t>证书的</w:t>
            </w:r>
          </w:p>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机构</w:t>
            </w:r>
          </w:p>
        </w:tc>
        <w:tc>
          <w:tcPr>
            <w:tcW w:w="96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双方协商</w:t>
            </w:r>
          </w:p>
        </w:tc>
        <w:tc>
          <w:tcPr>
            <w:tcW w:w="14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市场调节价</w:t>
            </w:r>
            <w:r>
              <w:rPr>
                <w:rFonts w:hint="eastAsia" w:asciiTheme="majorEastAsia" w:hAnsiTheme="majorEastAsia" w:eastAsiaTheme="majorEastAsia" w:cstheme="majorEastAsia"/>
                <w:spacing w:val="6"/>
                <w:sz w:val="21"/>
                <w:szCs w:val="21"/>
                <w:lang w:eastAsia="zh-CN"/>
              </w:rPr>
              <w:t>；</w:t>
            </w:r>
            <w:r>
              <w:rPr>
                <w:rFonts w:hint="eastAsia" w:asciiTheme="majorEastAsia" w:hAnsiTheme="majorEastAsia" w:eastAsiaTheme="majorEastAsia" w:cstheme="majorEastAsia"/>
                <w:spacing w:val="6"/>
                <w:sz w:val="21"/>
                <w:szCs w:val="21"/>
                <w:lang w:val="en-US" w:eastAsia="zh-CN"/>
              </w:rPr>
              <w:t>通过合同或协议明确收费标准；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35" w:hRule="atLeast"/>
        </w:trPr>
        <w:tc>
          <w:tcPr>
            <w:tcW w:w="50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210" w:firstLineChars="100"/>
              <w:jc w:val="center"/>
              <w:textAlignment w:val="auto"/>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val="en-US" w:eastAsia="zh-CN"/>
              </w:rPr>
              <w:t>4</w:t>
            </w:r>
          </w:p>
        </w:tc>
        <w:tc>
          <w:tcPr>
            <w:tcW w:w="83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县交通</w:t>
            </w:r>
          </w:p>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lang w:val="en-US" w:eastAsia="zh-CN"/>
              </w:rPr>
              <w:t>运输</w:t>
            </w:r>
            <w:r>
              <w:rPr>
                <w:rFonts w:hint="eastAsia" w:asciiTheme="majorEastAsia" w:hAnsiTheme="majorEastAsia" w:eastAsiaTheme="majorEastAsia" w:cstheme="majorEastAsia"/>
                <w:spacing w:val="6"/>
                <w:sz w:val="21"/>
                <w:szCs w:val="21"/>
              </w:rPr>
              <w:t>局</w:t>
            </w:r>
          </w:p>
        </w:tc>
        <w:tc>
          <w:tcPr>
            <w:tcW w:w="163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公路水运工程建设项目设计文件审批</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公路工程初步设计编制</w:t>
            </w:r>
          </w:p>
        </w:tc>
        <w:tc>
          <w:tcPr>
            <w:tcW w:w="748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left"/>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公路建设监督管理办法，交通部[2016]第6号令第九条</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工程设计</w:t>
            </w:r>
          </w:p>
        </w:tc>
        <w:tc>
          <w:tcPr>
            <w:tcW w:w="96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双方协商</w:t>
            </w:r>
          </w:p>
        </w:tc>
        <w:tc>
          <w:tcPr>
            <w:tcW w:w="14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市场调节价</w:t>
            </w:r>
            <w:r>
              <w:rPr>
                <w:rFonts w:hint="eastAsia" w:asciiTheme="majorEastAsia" w:hAnsiTheme="majorEastAsia" w:eastAsiaTheme="majorEastAsia" w:cstheme="majorEastAsia"/>
                <w:spacing w:val="6"/>
                <w:sz w:val="21"/>
                <w:szCs w:val="21"/>
                <w:lang w:eastAsia="zh-CN"/>
              </w:rPr>
              <w:t>；</w:t>
            </w:r>
            <w:r>
              <w:rPr>
                <w:rFonts w:hint="eastAsia" w:asciiTheme="majorEastAsia" w:hAnsiTheme="majorEastAsia" w:eastAsiaTheme="majorEastAsia" w:cstheme="majorEastAsia"/>
                <w:spacing w:val="6"/>
                <w:sz w:val="21"/>
                <w:szCs w:val="21"/>
                <w:lang w:val="en-US" w:eastAsia="zh-CN"/>
              </w:rPr>
              <w:t>通过合同或协议明确收费标准；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1" w:hRule="atLeast"/>
        </w:trPr>
        <w:tc>
          <w:tcPr>
            <w:tcW w:w="50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210" w:firstLineChars="100"/>
              <w:jc w:val="center"/>
              <w:textAlignment w:val="auto"/>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val="en-US" w:eastAsia="zh-CN"/>
              </w:rPr>
              <w:t>5</w:t>
            </w:r>
          </w:p>
        </w:tc>
        <w:tc>
          <w:tcPr>
            <w:tcW w:w="83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县交通</w:t>
            </w:r>
          </w:p>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lang w:val="en-US" w:eastAsia="zh-CN"/>
              </w:rPr>
              <w:t>运输</w:t>
            </w:r>
            <w:r>
              <w:rPr>
                <w:rFonts w:hint="eastAsia" w:asciiTheme="majorEastAsia" w:hAnsiTheme="majorEastAsia" w:eastAsiaTheme="majorEastAsia" w:cstheme="majorEastAsia"/>
                <w:spacing w:val="6"/>
                <w:sz w:val="21"/>
                <w:szCs w:val="21"/>
              </w:rPr>
              <w:t>局</w:t>
            </w:r>
          </w:p>
        </w:tc>
        <w:tc>
          <w:tcPr>
            <w:tcW w:w="163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跨越、穿越公路修建桥梁、渡槽或者架设、埋设管道、电缆等设施，及在公路用地范围内架设、埋设管线、电缆等设施，或者利用公路桥梁、公路隧道、涵洞</w:t>
            </w:r>
          </w:p>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铺设电缆等</w:t>
            </w:r>
          </w:p>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设施许可</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安全评价报告</w:t>
            </w:r>
          </w:p>
        </w:tc>
        <w:tc>
          <w:tcPr>
            <w:tcW w:w="748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left"/>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《公路安全保护条例》中华人民共和国国务院令第593号第二十八条第二项申请进行涉路施工活动的建设单位应当向公路管理机构提交下列材料</w:t>
            </w:r>
            <w:r>
              <w:rPr>
                <w:rFonts w:hint="eastAsia" w:asciiTheme="majorEastAsia" w:hAnsiTheme="majorEastAsia" w:eastAsiaTheme="majorEastAsia" w:cstheme="majorEastAsia"/>
                <w:spacing w:val="6"/>
                <w:sz w:val="21"/>
                <w:szCs w:val="21"/>
                <w:lang w:eastAsia="zh-CN"/>
              </w:rPr>
              <w:t>：</w:t>
            </w:r>
            <w:r>
              <w:rPr>
                <w:rFonts w:hint="eastAsia" w:asciiTheme="majorEastAsia" w:hAnsiTheme="majorEastAsia" w:eastAsiaTheme="majorEastAsia" w:cstheme="majorEastAsia"/>
                <w:spacing w:val="6"/>
                <w:sz w:val="21"/>
                <w:szCs w:val="21"/>
              </w:rPr>
              <w:t>(二)保障公路、公路附属设施质量和安全的技术评价报告</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lang w:val="en-US" w:eastAsia="zh-CN"/>
              </w:rPr>
            </w:pPr>
            <w:r>
              <w:rPr>
                <w:rFonts w:hint="eastAsia" w:asciiTheme="majorEastAsia" w:hAnsiTheme="majorEastAsia" w:eastAsiaTheme="majorEastAsia" w:cstheme="majorEastAsia"/>
                <w:spacing w:val="6"/>
                <w:sz w:val="21"/>
                <w:szCs w:val="21"/>
              </w:rPr>
              <w:t>具有</w:t>
            </w:r>
            <w:r>
              <w:rPr>
                <w:rFonts w:hint="eastAsia" w:asciiTheme="majorEastAsia" w:hAnsiTheme="majorEastAsia" w:eastAsiaTheme="majorEastAsia" w:cstheme="majorEastAsia"/>
                <w:spacing w:val="6"/>
                <w:sz w:val="21"/>
                <w:szCs w:val="21"/>
                <w:lang w:val="en-US" w:eastAsia="zh-CN"/>
              </w:rPr>
              <w:t>安全评价</w:t>
            </w:r>
            <w:r>
              <w:rPr>
                <w:rFonts w:hint="eastAsia" w:asciiTheme="majorEastAsia" w:hAnsiTheme="majorEastAsia" w:eastAsiaTheme="majorEastAsia" w:cstheme="majorEastAsia"/>
                <w:spacing w:val="6"/>
                <w:sz w:val="21"/>
                <w:szCs w:val="21"/>
              </w:rPr>
              <w:t>资质</w:t>
            </w:r>
            <w:r>
              <w:rPr>
                <w:rFonts w:hint="eastAsia" w:asciiTheme="majorEastAsia" w:hAnsiTheme="majorEastAsia" w:eastAsiaTheme="majorEastAsia" w:cstheme="majorEastAsia"/>
                <w:spacing w:val="6"/>
                <w:sz w:val="21"/>
                <w:szCs w:val="21"/>
                <w:lang w:val="en-US" w:eastAsia="zh-CN"/>
              </w:rPr>
              <w:t>证书的</w:t>
            </w:r>
          </w:p>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机构</w:t>
            </w:r>
          </w:p>
        </w:tc>
        <w:tc>
          <w:tcPr>
            <w:tcW w:w="96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双方协商</w:t>
            </w:r>
          </w:p>
        </w:tc>
        <w:tc>
          <w:tcPr>
            <w:tcW w:w="14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lang w:val="en-US" w:eastAsia="zh-CN"/>
              </w:rPr>
            </w:pPr>
            <w:r>
              <w:rPr>
                <w:rFonts w:hint="eastAsia" w:asciiTheme="majorEastAsia" w:hAnsiTheme="majorEastAsia" w:eastAsiaTheme="majorEastAsia" w:cstheme="majorEastAsia"/>
                <w:spacing w:val="6"/>
                <w:sz w:val="21"/>
                <w:szCs w:val="21"/>
              </w:rPr>
              <w:t>市场调节价</w:t>
            </w:r>
            <w:r>
              <w:rPr>
                <w:rFonts w:hint="eastAsia" w:asciiTheme="majorEastAsia" w:hAnsiTheme="majorEastAsia" w:eastAsiaTheme="majorEastAsia" w:cstheme="majorEastAsia"/>
                <w:spacing w:val="6"/>
                <w:sz w:val="21"/>
                <w:szCs w:val="21"/>
                <w:lang w:eastAsia="zh-CN"/>
              </w:rPr>
              <w:t>；</w:t>
            </w:r>
            <w:r>
              <w:rPr>
                <w:rFonts w:hint="eastAsia" w:asciiTheme="majorEastAsia" w:hAnsiTheme="majorEastAsia" w:eastAsiaTheme="majorEastAsia" w:cstheme="majorEastAsia"/>
                <w:spacing w:val="6"/>
                <w:sz w:val="21"/>
                <w:szCs w:val="21"/>
                <w:lang w:val="en-US" w:eastAsia="zh-CN"/>
              </w:rPr>
              <w:t>通过合同或协议明确收费标准；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61" w:hRule="atLeast"/>
        </w:trPr>
        <w:tc>
          <w:tcPr>
            <w:tcW w:w="50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lang w:val="en-US" w:eastAsia="zh-CN"/>
              </w:rPr>
            </w:pPr>
            <w:r>
              <w:rPr>
                <w:rFonts w:hint="eastAsia" w:asciiTheme="majorEastAsia" w:hAnsiTheme="majorEastAsia" w:eastAsiaTheme="majorEastAsia" w:cstheme="majorEastAsia"/>
                <w:spacing w:val="6"/>
                <w:sz w:val="21"/>
                <w:szCs w:val="21"/>
                <w:lang w:val="en-US" w:eastAsia="zh-CN"/>
              </w:rPr>
              <w:t>6</w:t>
            </w:r>
          </w:p>
        </w:tc>
        <w:tc>
          <w:tcPr>
            <w:tcW w:w="83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县交通</w:t>
            </w:r>
          </w:p>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lang w:val="en-US" w:eastAsia="zh-CN"/>
              </w:rPr>
              <w:t>运输</w:t>
            </w:r>
            <w:r>
              <w:rPr>
                <w:rFonts w:hint="eastAsia" w:asciiTheme="majorEastAsia" w:hAnsiTheme="majorEastAsia" w:eastAsiaTheme="majorEastAsia" w:cstheme="majorEastAsia"/>
                <w:spacing w:val="6"/>
                <w:sz w:val="21"/>
                <w:szCs w:val="21"/>
              </w:rPr>
              <w:t>局</w:t>
            </w:r>
          </w:p>
        </w:tc>
        <w:tc>
          <w:tcPr>
            <w:tcW w:w="163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占用、挖掘公路、公路用地或者使公路改线审批</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安全评价报告</w:t>
            </w:r>
          </w:p>
        </w:tc>
        <w:tc>
          <w:tcPr>
            <w:tcW w:w="748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left"/>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《公路安全保护条例》中华人民共和国国务院令第593号第二十八条第二项申请进行涉路施工活动的建设单位应当向公路管理机构提交下列材料</w:t>
            </w:r>
            <w:r>
              <w:rPr>
                <w:rFonts w:hint="eastAsia" w:asciiTheme="majorEastAsia" w:hAnsiTheme="majorEastAsia" w:eastAsiaTheme="majorEastAsia" w:cstheme="majorEastAsia"/>
                <w:spacing w:val="6"/>
                <w:sz w:val="21"/>
                <w:szCs w:val="21"/>
                <w:lang w:eastAsia="zh-CN"/>
              </w:rPr>
              <w:t>：</w:t>
            </w:r>
            <w:r>
              <w:rPr>
                <w:rFonts w:hint="eastAsia" w:asciiTheme="majorEastAsia" w:hAnsiTheme="majorEastAsia" w:eastAsiaTheme="majorEastAsia" w:cstheme="majorEastAsia"/>
                <w:spacing w:val="6"/>
                <w:sz w:val="21"/>
                <w:szCs w:val="21"/>
              </w:rPr>
              <w:t>(二)保障公路、公路附属设施质量和安全的技术评价报告</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lang w:val="en-US" w:eastAsia="zh-CN"/>
              </w:rPr>
            </w:pPr>
            <w:r>
              <w:rPr>
                <w:rFonts w:hint="eastAsia" w:asciiTheme="majorEastAsia" w:hAnsiTheme="majorEastAsia" w:eastAsiaTheme="majorEastAsia" w:cstheme="majorEastAsia"/>
                <w:spacing w:val="6"/>
                <w:sz w:val="21"/>
                <w:szCs w:val="21"/>
              </w:rPr>
              <w:t>具有</w:t>
            </w:r>
            <w:r>
              <w:rPr>
                <w:rFonts w:hint="eastAsia" w:asciiTheme="majorEastAsia" w:hAnsiTheme="majorEastAsia" w:eastAsiaTheme="majorEastAsia" w:cstheme="majorEastAsia"/>
                <w:spacing w:val="6"/>
                <w:sz w:val="21"/>
                <w:szCs w:val="21"/>
                <w:lang w:val="en-US" w:eastAsia="zh-CN"/>
              </w:rPr>
              <w:t>安全评价</w:t>
            </w:r>
            <w:r>
              <w:rPr>
                <w:rFonts w:hint="eastAsia" w:asciiTheme="majorEastAsia" w:hAnsiTheme="majorEastAsia" w:eastAsiaTheme="majorEastAsia" w:cstheme="majorEastAsia"/>
                <w:spacing w:val="6"/>
                <w:sz w:val="21"/>
                <w:szCs w:val="21"/>
              </w:rPr>
              <w:t>资质</w:t>
            </w:r>
            <w:r>
              <w:rPr>
                <w:rFonts w:hint="eastAsia" w:asciiTheme="majorEastAsia" w:hAnsiTheme="majorEastAsia" w:eastAsiaTheme="majorEastAsia" w:cstheme="majorEastAsia"/>
                <w:spacing w:val="6"/>
                <w:sz w:val="21"/>
                <w:szCs w:val="21"/>
                <w:lang w:val="en-US" w:eastAsia="zh-CN"/>
              </w:rPr>
              <w:t>证书的</w:t>
            </w:r>
          </w:p>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机构</w:t>
            </w:r>
          </w:p>
        </w:tc>
        <w:tc>
          <w:tcPr>
            <w:tcW w:w="96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双方协商</w:t>
            </w:r>
          </w:p>
        </w:tc>
        <w:tc>
          <w:tcPr>
            <w:tcW w:w="14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市场调节价</w:t>
            </w:r>
            <w:r>
              <w:rPr>
                <w:rFonts w:hint="eastAsia" w:asciiTheme="majorEastAsia" w:hAnsiTheme="majorEastAsia" w:eastAsiaTheme="majorEastAsia" w:cstheme="majorEastAsia"/>
                <w:spacing w:val="6"/>
                <w:sz w:val="21"/>
                <w:szCs w:val="21"/>
                <w:lang w:eastAsia="zh-CN"/>
              </w:rPr>
              <w:t>；</w:t>
            </w:r>
            <w:r>
              <w:rPr>
                <w:rFonts w:hint="eastAsia" w:asciiTheme="majorEastAsia" w:hAnsiTheme="majorEastAsia" w:eastAsiaTheme="majorEastAsia" w:cstheme="majorEastAsia"/>
                <w:spacing w:val="6"/>
                <w:sz w:val="21"/>
                <w:szCs w:val="21"/>
                <w:lang w:val="en-US" w:eastAsia="zh-CN"/>
              </w:rPr>
              <w:t>通过合同或协议明确收费标准；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8" w:hRule="atLeast"/>
        </w:trPr>
        <w:tc>
          <w:tcPr>
            <w:tcW w:w="50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lang w:val="en-US" w:eastAsia="zh-CN"/>
              </w:rPr>
            </w:pPr>
            <w:r>
              <w:rPr>
                <w:rFonts w:hint="eastAsia" w:asciiTheme="majorEastAsia" w:hAnsiTheme="majorEastAsia" w:eastAsiaTheme="majorEastAsia" w:cstheme="majorEastAsia"/>
                <w:spacing w:val="6"/>
                <w:sz w:val="21"/>
                <w:szCs w:val="21"/>
                <w:lang w:val="en-US" w:eastAsia="zh-CN"/>
              </w:rPr>
              <w:t>7</w:t>
            </w:r>
          </w:p>
        </w:tc>
        <w:tc>
          <w:tcPr>
            <w:tcW w:w="83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lang w:val="en-US" w:eastAsia="zh-CN"/>
              </w:rPr>
            </w:pPr>
            <w:r>
              <w:rPr>
                <w:rFonts w:hint="eastAsia" w:asciiTheme="majorEastAsia" w:hAnsiTheme="majorEastAsia" w:eastAsiaTheme="majorEastAsia" w:cstheme="majorEastAsia"/>
                <w:spacing w:val="6"/>
                <w:sz w:val="21"/>
                <w:szCs w:val="21"/>
                <w:lang w:val="en-US" w:eastAsia="zh-CN"/>
              </w:rPr>
              <w:t>县交通</w:t>
            </w:r>
          </w:p>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lang w:val="en-US" w:eastAsia="zh-CN"/>
              </w:rPr>
              <w:t>运输局</w:t>
            </w:r>
          </w:p>
        </w:tc>
        <w:tc>
          <w:tcPr>
            <w:tcW w:w="163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lang w:val="en-US" w:eastAsia="zh-CN"/>
              </w:rPr>
              <w:t>在公路增设或改造平面交叉道口审批</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lang w:val="en-US" w:eastAsia="zh-CN"/>
              </w:rPr>
              <w:t>安全评价报告</w:t>
            </w:r>
          </w:p>
        </w:tc>
        <w:tc>
          <w:tcPr>
            <w:tcW w:w="748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left"/>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lang w:val="en-US" w:eastAsia="zh-CN"/>
              </w:rPr>
              <w:t>《公路安全保护条例》中华人民共和国国务院令第593号第二十八条第（二）项申请进行涉路施工活动的建设单位应当向公路管理机构提交下列材料：（二）保障公路、公路附属设施质量和安全的技术评价报告。</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lang w:val="en-US" w:eastAsia="zh-CN"/>
              </w:rPr>
              <w:t>具备安全评价资质证书的机构</w:t>
            </w:r>
          </w:p>
        </w:tc>
        <w:tc>
          <w:tcPr>
            <w:tcW w:w="96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lang w:val="en-US" w:eastAsia="zh-CN"/>
              </w:rPr>
              <w:t>双方协商约定</w:t>
            </w:r>
          </w:p>
        </w:tc>
        <w:tc>
          <w:tcPr>
            <w:tcW w:w="14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lang w:val="en-US" w:eastAsia="zh-CN"/>
              </w:rPr>
              <w:t>按市场调节价；通过合同或协议明确收费标准；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3" w:hRule="atLeast"/>
        </w:trPr>
        <w:tc>
          <w:tcPr>
            <w:tcW w:w="50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lang w:val="en-US" w:eastAsia="zh-CN"/>
              </w:rPr>
            </w:pPr>
            <w:r>
              <w:rPr>
                <w:rFonts w:hint="eastAsia" w:asciiTheme="majorEastAsia" w:hAnsiTheme="majorEastAsia" w:eastAsiaTheme="majorEastAsia" w:cstheme="majorEastAsia"/>
                <w:spacing w:val="6"/>
                <w:sz w:val="21"/>
                <w:szCs w:val="21"/>
                <w:lang w:val="en-US" w:eastAsia="zh-CN"/>
              </w:rPr>
              <w:t>8</w:t>
            </w:r>
          </w:p>
        </w:tc>
        <w:tc>
          <w:tcPr>
            <w:tcW w:w="83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lang w:val="en-US" w:eastAsia="zh-CN"/>
              </w:rPr>
            </w:pPr>
            <w:r>
              <w:rPr>
                <w:rFonts w:hint="eastAsia" w:asciiTheme="majorEastAsia" w:hAnsiTheme="majorEastAsia" w:eastAsiaTheme="majorEastAsia" w:cstheme="majorEastAsia"/>
                <w:spacing w:val="6"/>
                <w:sz w:val="21"/>
                <w:szCs w:val="21"/>
                <w:lang w:val="en-US" w:eastAsia="zh-CN"/>
              </w:rPr>
              <w:t>县交通</w:t>
            </w:r>
          </w:p>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lang w:val="en-US" w:eastAsia="zh-CN"/>
              </w:rPr>
            </w:pPr>
            <w:r>
              <w:rPr>
                <w:rFonts w:hint="eastAsia" w:asciiTheme="majorEastAsia" w:hAnsiTheme="majorEastAsia" w:eastAsiaTheme="majorEastAsia" w:cstheme="majorEastAsia"/>
                <w:spacing w:val="6"/>
                <w:sz w:val="21"/>
                <w:szCs w:val="21"/>
                <w:lang w:val="en-US" w:eastAsia="zh-CN"/>
              </w:rPr>
              <w:t>运输局</w:t>
            </w:r>
          </w:p>
        </w:tc>
        <w:tc>
          <w:tcPr>
            <w:tcW w:w="163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lang w:val="en-US" w:eastAsia="zh-CN"/>
              </w:rPr>
            </w:pPr>
            <w:r>
              <w:rPr>
                <w:rFonts w:hint="eastAsia" w:asciiTheme="majorEastAsia" w:hAnsiTheme="majorEastAsia" w:eastAsiaTheme="majorEastAsia" w:cstheme="majorEastAsia"/>
                <w:spacing w:val="6"/>
                <w:sz w:val="21"/>
                <w:szCs w:val="21"/>
                <w:lang w:val="en-US" w:eastAsia="zh-CN"/>
              </w:rPr>
              <w:t>公路超限运输</w:t>
            </w:r>
          </w:p>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lang w:val="en-US" w:eastAsia="zh-CN"/>
              </w:rPr>
            </w:pPr>
            <w:r>
              <w:rPr>
                <w:rFonts w:hint="eastAsia" w:asciiTheme="majorEastAsia" w:hAnsiTheme="majorEastAsia" w:eastAsiaTheme="majorEastAsia" w:cstheme="majorEastAsia"/>
                <w:spacing w:val="6"/>
                <w:sz w:val="21"/>
                <w:szCs w:val="21"/>
                <w:lang w:val="en-US" w:eastAsia="zh-CN"/>
              </w:rPr>
              <w:t>许可</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lang w:val="en-US" w:eastAsia="zh-CN"/>
              </w:rPr>
            </w:pPr>
            <w:r>
              <w:rPr>
                <w:rFonts w:hint="eastAsia" w:asciiTheme="majorEastAsia" w:hAnsiTheme="majorEastAsia" w:eastAsiaTheme="majorEastAsia" w:cstheme="majorEastAsia"/>
                <w:spacing w:val="6"/>
                <w:sz w:val="21"/>
                <w:szCs w:val="21"/>
                <w:lang w:val="en-US" w:eastAsia="zh-CN"/>
              </w:rPr>
              <w:t>加固、改造</w:t>
            </w:r>
          </w:p>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lang w:val="en-US" w:eastAsia="zh-CN"/>
              </w:rPr>
            </w:pPr>
            <w:r>
              <w:rPr>
                <w:rFonts w:hint="eastAsia" w:asciiTheme="majorEastAsia" w:hAnsiTheme="majorEastAsia" w:eastAsiaTheme="majorEastAsia" w:cstheme="majorEastAsia"/>
                <w:spacing w:val="6"/>
                <w:sz w:val="21"/>
                <w:szCs w:val="21"/>
                <w:lang w:val="en-US" w:eastAsia="zh-CN"/>
              </w:rPr>
              <w:t>方案</w:t>
            </w:r>
          </w:p>
        </w:tc>
        <w:tc>
          <w:tcPr>
            <w:tcW w:w="748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left"/>
              <w:textAlignment w:val="auto"/>
              <w:rPr>
                <w:rFonts w:hint="eastAsia" w:asciiTheme="majorEastAsia" w:hAnsiTheme="majorEastAsia" w:eastAsiaTheme="majorEastAsia" w:cstheme="majorEastAsia"/>
                <w:spacing w:val="6"/>
                <w:sz w:val="21"/>
                <w:szCs w:val="21"/>
                <w:lang w:val="en-US" w:eastAsia="zh-CN"/>
              </w:rPr>
            </w:pPr>
            <w:r>
              <w:rPr>
                <w:rFonts w:hint="eastAsia" w:asciiTheme="majorEastAsia" w:hAnsiTheme="majorEastAsia" w:eastAsiaTheme="majorEastAsia" w:cstheme="majorEastAsia"/>
                <w:spacing w:val="6"/>
                <w:sz w:val="21"/>
                <w:szCs w:val="21"/>
                <w:lang w:val="en-US" w:eastAsia="zh-CN"/>
              </w:rPr>
              <w:t>第十三条公路管理机构审批公路超限运输申请，应当根据实际情况组织人员勘测通行路线。需要采取加固、改造措施的，承运人应当按照规定要求采取有效的加固、改造措施。公路管理机构应当对承运人提出的加固、改造措施方案进行审查，并组织验收。承运人不具备加固、改造措施的条件和能力的，可以通过签订协议的方式，委托公路管理机构制定相应的加固、改造方案，由公路管理机构进行加固、改造，或者由公路管理机构通过市场化方式选择具有相应资质的单位进行加固、改造。采取加固、改造措施所需的费用由承运人承担。相关收费标准应当公开、透明</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lang w:val="en-US" w:eastAsia="zh-CN"/>
              </w:rPr>
            </w:pPr>
            <w:r>
              <w:rPr>
                <w:rFonts w:hint="eastAsia" w:asciiTheme="majorEastAsia" w:hAnsiTheme="majorEastAsia" w:eastAsiaTheme="majorEastAsia" w:cstheme="majorEastAsia"/>
                <w:spacing w:val="6"/>
                <w:sz w:val="21"/>
                <w:szCs w:val="21"/>
                <w:lang w:val="en-US" w:eastAsia="zh-CN"/>
              </w:rPr>
              <w:t>具备相应资质证书的机构</w:t>
            </w:r>
          </w:p>
        </w:tc>
        <w:tc>
          <w:tcPr>
            <w:tcW w:w="96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lang w:val="en-US" w:eastAsia="zh-CN"/>
              </w:rPr>
            </w:pPr>
            <w:r>
              <w:rPr>
                <w:rFonts w:hint="eastAsia" w:asciiTheme="majorEastAsia" w:hAnsiTheme="majorEastAsia" w:eastAsiaTheme="majorEastAsia" w:cstheme="majorEastAsia"/>
                <w:spacing w:val="6"/>
                <w:sz w:val="21"/>
                <w:szCs w:val="21"/>
                <w:lang w:val="en-US" w:eastAsia="zh-CN"/>
              </w:rPr>
              <w:t>双方协商约定</w:t>
            </w:r>
          </w:p>
        </w:tc>
        <w:tc>
          <w:tcPr>
            <w:tcW w:w="14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lang w:val="en-US" w:eastAsia="zh-CN"/>
              </w:rPr>
            </w:pPr>
            <w:r>
              <w:rPr>
                <w:rFonts w:hint="eastAsia" w:asciiTheme="majorEastAsia" w:hAnsiTheme="majorEastAsia" w:eastAsiaTheme="majorEastAsia" w:cstheme="majorEastAsia"/>
                <w:spacing w:val="6"/>
                <w:sz w:val="21"/>
                <w:szCs w:val="21"/>
                <w:lang w:val="en-US" w:eastAsia="zh-CN"/>
              </w:rPr>
              <w:t>按市场调节价；通过合同或协议明确收费标准；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5" w:hRule="atLeast"/>
        </w:trPr>
        <w:tc>
          <w:tcPr>
            <w:tcW w:w="50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lang w:val="en-US" w:eastAsia="zh-CN"/>
              </w:rPr>
            </w:pPr>
            <w:r>
              <w:rPr>
                <w:rFonts w:hint="eastAsia" w:asciiTheme="majorEastAsia" w:hAnsiTheme="majorEastAsia" w:eastAsiaTheme="majorEastAsia" w:cstheme="majorEastAsia"/>
                <w:spacing w:val="6"/>
                <w:sz w:val="21"/>
                <w:szCs w:val="21"/>
                <w:lang w:val="en-US" w:eastAsia="zh-CN"/>
              </w:rPr>
              <w:t>9</w:t>
            </w:r>
          </w:p>
        </w:tc>
        <w:tc>
          <w:tcPr>
            <w:tcW w:w="83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县交通</w:t>
            </w:r>
          </w:p>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lang w:val="en-US" w:eastAsia="zh-CN"/>
              </w:rPr>
              <w:t>运输</w:t>
            </w:r>
            <w:r>
              <w:rPr>
                <w:rFonts w:hint="eastAsia" w:asciiTheme="majorEastAsia" w:hAnsiTheme="majorEastAsia" w:eastAsiaTheme="majorEastAsia" w:cstheme="majorEastAsia"/>
                <w:spacing w:val="6"/>
                <w:sz w:val="21"/>
                <w:szCs w:val="21"/>
              </w:rPr>
              <w:t>局</w:t>
            </w:r>
          </w:p>
        </w:tc>
        <w:tc>
          <w:tcPr>
            <w:tcW w:w="163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lang w:eastAsia="zh-CN"/>
              </w:rPr>
            </w:pPr>
            <w:r>
              <w:rPr>
                <w:rFonts w:hint="eastAsia" w:asciiTheme="majorEastAsia" w:hAnsiTheme="majorEastAsia" w:eastAsiaTheme="majorEastAsia" w:cstheme="majorEastAsia"/>
                <w:spacing w:val="6"/>
                <w:sz w:val="21"/>
                <w:szCs w:val="21"/>
              </w:rPr>
              <w:t>设</w:t>
            </w:r>
            <w:r>
              <w:rPr>
                <w:rFonts w:hint="eastAsia" w:asciiTheme="majorEastAsia" w:hAnsiTheme="majorEastAsia" w:eastAsiaTheme="majorEastAsia" w:cstheme="majorEastAsia"/>
                <w:spacing w:val="6"/>
                <w:sz w:val="21"/>
                <w:szCs w:val="21"/>
                <w:lang w:val="en-US" w:eastAsia="zh-CN"/>
              </w:rPr>
              <w:t>置</w:t>
            </w:r>
            <w:r>
              <w:rPr>
                <w:rFonts w:hint="eastAsia" w:asciiTheme="majorEastAsia" w:hAnsiTheme="majorEastAsia" w:eastAsiaTheme="majorEastAsia" w:cstheme="majorEastAsia"/>
                <w:spacing w:val="6"/>
                <w:sz w:val="21"/>
                <w:szCs w:val="21"/>
              </w:rPr>
              <w:t>非公路标志</w:t>
            </w:r>
            <w:r>
              <w:rPr>
                <w:rFonts w:hint="eastAsia" w:asciiTheme="majorEastAsia" w:hAnsiTheme="majorEastAsia" w:eastAsiaTheme="majorEastAsia" w:cstheme="majorEastAsia"/>
                <w:spacing w:val="6"/>
                <w:sz w:val="21"/>
                <w:szCs w:val="21"/>
                <w:lang w:val="en-US" w:eastAsia="zh-CN"/>
              </w:rPr>
              <w:t>审批</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安全评价报告</w:t>
            </w:r>
          </w:p>
        </w:tc>
        <w:tc>
          <w:tcPr>
            <w:tcW w:w="748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left"/>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《公路安全保护条例》中华人民共和国国务院令第59</w:t>
            </w:r>
            <w:r>
              <w:rPr>
                <w:rFonts w:hint="eastAsia" w:asciiTheme="majorEastAsia" w:hAnsiTheme="majorEastAsia" w:eastAsiaTheme="majorEastAsia" w:cstheme="majorEastAsia"/>
                <w:spacing w:val="6"/>
                <w:sz w:val="21"/>
                <w:szCs w:val="21"/>
                <w:lang w:val="en-US" w:eastAsia="zh-CN"/>
              </w:rPr>
              <w:t>3</w:t>
            </w:r>
            <w:r>
              <w:rPr>
                <w:rFonts w:hint="eastAsia" w:asciiTheme="majorEastAsia" w:hAnsiTheme="majorEastAsia" w:eastAsiaTheme="majorEastAsia" w:cstheme="majorEastAsia"/>
                <w:spacing w:val="6"/>
                <w:sz w:val="21"/>
                <w:szCs w:val="21"/>
              </w:rPr>
              <w:t>号第二十八条第(二)项申请进行涉路施工活动的建设单位应当向公路管理机构提交下列材料：(二)保障公路、公路附属设施质量和安全的技术评价报告</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具有</w:t>
            </w:r>
            <w:r>
              <w:rPr>
                <w:rFonts w:hint="eastAsia" w:asciiTheme="majorEastAsia" w:hAnsiTheme="majorEastAsia" w:eastAsiaTheme="majorEastAsia" w:cstheme="majorEastAsia"/>
                <w:spacing w:val="6"/>
                <w:sz w:val="21"/>
                <w:szCs w:val="21"/>
                <w:lang w:val="en-US" w:eastAsia="zh-CN"/>
              </w:rPr>
              <w:t>安全评价</w:t>
            </w:r>
            <w:r>
              <w:rPr>
                <w:rFonts w:hint="eastAsia" w:asciiTheme="majorEastAsia" w:hAnsiTheme="majorEastAsia" w:eastAsiaTheme="majorEastAsia" w:cstheme="majorEastAsia"/>
                <w:spacing w:val="6"/>
                <w:sz w:val="21"/>
                <w:szCs w:val="21"/>
              </w:rPr>
              <w:t>资质</w:t>
            </w:r>
            <w:r>
              <w:rPr>
                <w:rFonts w:hint="eastAsia" w:asciiTheme="majorEastAsia" w:hAnsiTheme="majorEastAsia" w:eastAsiaTheme="majorEastAsia" w:cstheme="majorEastAsia"/>
                <w:spacing w:val="6"/>
                <w:sz w:val="21"/>
                <w:szCs w:val="21"/>
                <w:lang w:val="en-US" w:eastAsia="zh-CN"/>
              </w:rPr>
              <w:t>证书的</w:t>
            </w:r>
            <w:r>
              <w:rPr>
                <w:rFonts w:hint="eastAsia" w:asciiTheme="majorEastAsia" w:hAnsiTheme="majorEastAsia" w:eastAsiaTheme="majorEastAsia" w:cstheme="majorEastAsia"/>
                <w:spacing w:val="6"/>
                <w:sz w:val="21"/>
                <w:szCs w:val="21"/>
              </w:rPr>
              <w:t>机构</w:t>
            </w:r>
          </w:p>
        </w:tc>
        <w:tc>
          <w:tcPr>
            <w:tcW w:w="96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双方协商</w:t>
            </w:r>
          </w:p>
        </w:tc>
        <w:tc>
          <w:tcPr>
            <w:tcW w:w="14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lang w:val="en-US" w:eastAsia="zh-CN"/>
              </w:rPr>
              <w:t>市场调节价；通过合同或协议明确收费标准；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15" w:hRule="atLeast"/>
        </w:trPr>
        <w:tc>
          <w:tcPr>
            <w:tcW w:w="50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lang w:val="en-US" w:eastAsia="zh-CN"/>
              </w:rPr>
            </w:pPr>
            <w:r>
              <w:rPr>
                <w:rFonts w:hint="eastAsia" w:asciiTheme="majorEastAsia" w:hAnsiTheme="majorEastAsia" w:eastAsiaTheme="majorEastAsia" w:cstheme="majorEastAsia"/>
                <w:spacing w:val="6"/>
                <w:sz w:val="21"/>
                <w:szCs w:val="21"/>
              </w:rPr>
              <w:t>1</w:t>
            </w:r>
            <w:r>
              <w:rPr>
                <w:rFonts w:hint="eastAsia" w:asciiTheme="majorEastAsia" w:hAnsiTheme="majorEastAsia" w:eastAsiaTheme="majorEastAsia" w:cstheme="majorEastAsia"/>
                <w:spacing w:val="6"/>
                <w:sz w:val="21"/>
                <w:szCs w:val="21"/>
                <w:lang w:val="en-US" w:eastAsia="zh-CN"/>
              </w:rPr>
              <w:t>0</w:t>
            </w:r>
          </w:p>
        </w:tc>
        <w:tc>
          <w:tcPr>
            <w:tcW w:w="83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县</w:t>
            </w:r>
          </w:p>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民政局</w:t>
            </w:r>
          </w:p>
        </w:tc>
        <w:tc>
          <w:tcPr>
            <w:tcW w:w="163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社会团体成</w:t>
            </w:r>
          </w:p>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立、变更、注销登记</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验资报告(申请成立或办理活动资金变更登记提交)</w:t>
            </w:r>
          </w:p>
        </w:tc>
        <w:tc>
          <w:tcPr>
            <w:tcW w:w="748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left"/>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中华人民共和国国务院令第250号《社会团体登记管理条例》第十一条："申请筹备成立社会团体，发起人应当向登记管理机关提交下列文件…”(三)验资报告、场所使用权证明…第二十条社会团体的登记事项、备案事项需要变更的，应当自业务主管单位审查同意之日起30日内，向登记管理机关申请变更登记、变更备案...</w:t>
            </w:r>
          </w:p>
          <w:p>
            <w:pPr>
              <w:keepNext w:val="0"/>
              <w:keepLines w:val="0"/>
              <w:pageBreakBefore w:val="0"/>
              <w:widowControl w:val="0"/>
              <w:kinsoku/>
              <w:wordWrap/>
              <w:overflowPunct/>
              <w:topLinePunct w:val="0"/>
              <w:autoSpaceDE/>
              <w:autoSpaceDN/>
              <w:bidi w:val="0"/>
              <w:adjustRightInd/>
              <w:snapToGrid/>
              <w:spacing w:line="300" w:lineRule="exact"/>
              <w:ind w:left="0" w:firstLine="0"/>
              <w:jc w:val="left"/>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河南省《社会团体登记管理条例》实施办法(省政府令第62条)第十四条第一款“社会团体变更名称，应当说明理由；变更住所，应当在迁入新住所前申请变更登记，并提交新住所的产权或使用权证明；变更法定代表人，应当提交原法定代表人或拟任法定代表人签署的变更登记申请书和社会审计机构出具的财务审计报告；变更活动资金的，应提交社会审计机构出具的验资报告；变更业务主管单位的，应同时出具该社会团体前后业务主管单位同意的文件。”</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会计师事务所</w:t>
            </w:r>
          </w:p>
        </w:tc>
        <w:tc>
          <w:tcPr>
            <w:tcW w:w="96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双方协商</w:t>
            </w:r>
          </w:p>
        </w:tc>
        <w:tc>
          <w:tcPr>
            <w:tcW w:w="14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95" w:hRule="atLeast"/>
        </w:trPr>
        <w:tc>
          <w:tcPr>
            <w:tcW w:w="50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lang w:val="en-US" w:eastAsia="zh-CN"/>
              </w:rPr>
            </w:pPr>
            <w:r>
              <w:rPr>
                <w:rFonts w:hint="eastAsia" w:asciiTheme="majorEastAsia" w:hAnsiTheme="majorEastAsia" w:eastAsiaTheme="majorEastAsia" w:cstheme="majorEastAsia"/>
                <w:spacing w:val="6"/>
                <w:sz w:val="21"/>
                <w:szCs w:val="21"/>
              </w:rPr>
              <w:t>1</w:t>
            </w:r>
            <w:r>
              <w:rPr>
                <w:rFonts w:hint="eastAsia" w:asciiTheme="majorEastAsia" w:hAnsiTheme="majorEastAsia" w:eastAsiaTheme="majorEastAsia" w:cstheme="majorEastAsia"/>
                <w:spacing w:val="6"/>
                <w:sz w:val="21"/>
                <w:szCs w:val="21"/>
                <w:lang w:val="en-US" w:eastAsia="zh-CN"/>
              </w:rPr>
              <w:t>1</w:t>
            </w:r>
          </w:p>
        </w:tc>
        <w:tc>
          <w:tcPr>
            <w:tcW w:w="83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县</w:t>
            </w:r>
          </w:p>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民政局</w:t>
            </w:r>
          </w:p>
        </w:tc>
        <w:tc>
          <w:tcPr>
            <w:tcW w:w="163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民办非企业单位成立、变更、注销登记</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验资报告(申请</w:t>
            </w:r>
          </w:p>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成立或办理活</w:t>
            </w:r>
          </w:p>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动资金变更登</w:t>
            </w:r>
          </w:p>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记提交)</w:t>
            </w:r>
          </w:p>
        </w:tc>
        <w:tc>
          <w:tcPr>
            <w:tcW w:w="748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left"/>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《民办非企业单位登记管理暂行条例》国务院令第251号第九条申请民办非企业单位登记，举办者应当向登记管理机关提交下列文件...(四)验资报告...</w:t>
            </w:r>
          </w:p>
          <w:p>
            <w:pPr>
              <w:keepNext w:val="0"/>
              <w:keepLines w:val="0"/>
              <w:pageBreakBefore w:val="0"/>
              <w:widowControl w:val="0"/>
              <w:kinsoku/>
              <w:wordWrap/>
              <w:overflowPunct/>
              <w:topLinePunct w:val="0"/>
              <w:autoSpaceDE/>
              <w:autoSpaceDN/>
              <w:bidi w:val="0"/>
              <w:adjustRightInd/>
              <w:snapToGrid/>
              <w:spacing w:line="300" w:lineRule="exact"/>
              <w:ind w:left="0" w:firstLine="0"/>
              <w:jc w:val="left"/>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民办非企业单位登记管理暂行办法》民政部令第18号第十二条“民办非企业单位的住所、业务范围、法定代表人或单位负责人、开办资金、业务主管单位发生变更的，除向登记管理机关提交本办法第十一条规定的文件外，还须分别提交下列材料：变更后新住所的产权或使用权证明；变更后的业务范围；变更后法定代表人或单位负责人的身份证明，及本办法第六条第六款涉及的其他材料；变更后的验资报告；原业务主管单位不再承担业务主管的文件。”</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会计师事务所</w:t>
            </w:r>
          </w:p>
        </w:tc>
        <w:tc>
          <w:tcPr>
            <w:tcW w:w="96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双方协商</w:t>
            </w:r>
          </w:p>
        </w:tc>
        <w:tc>
          <w:tcPr>
            <w:tcW w:w="14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819" w:hRule="atLeast"/>
        </w:trPr>
        <w:tc>
          <w:tcPr>
            <w:tcW w:w="50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lang w:val="en-US" w:eastAsia="zh-CN"/>
              </w:rPr>
            </w:pPr>
            <w:r>
              <w:rPr>
                <w:rFonts w:hint="eastAsia" w:asciiTheme="majorEastAsia" w:hAnsiTheme="majorEastAsia" w:eastAsiaTheme="majorEastAsia" w:cstheme="majorEastAsia"/>
                <w:spacing w:val="6"/>
                <w:sz w:val="21"/>
                <w:szCs w:val="21"/>
              </w:rPr>
              <w:t>1</w:t>
            </w:r>
            <w:r>
              <w:rPr>
                <w:rFonts w:hint="eastAsia" w:asciiTheme="majorEastAsia" w:hAnsiTheme="majorEastAsia" w:eastAsiaTheme="majorEastAsia" w:cstheme="majorEastAsia"/>
                <w:spacing w:val="6"/>
                <w:sz w:val="21"/>
                <w:szCs w:val="21"/>
                <w:lang w:val="en-US" w:eastAsia="zh-CN"/>
              </w:rPr>
              <w:t>2</w:t>
            </w:r>
          </w:p>
        </w:tc>
        <w:tc>
          <w:tcPr>
            <w:tcW w:w="83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县人社局</w:t>
            </w:r>
          </w:p>
        </w:tc>
        <w:tc>
          <w:tcPr>
            <w:tcW w:w="163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劳务派遣经</w:t>
            </w:r>
          </w:p>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营许可(新</w:t>
            </w:r>
          </w:p>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办)</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验资机构出具</w:t>
            </w:r>
          </w:p>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的验资报告或</w:t>
            </w:r>
          </w:p>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者财务审计报</w:t>
            </w:r>
          </w:p>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告</w:t>
            </w:r>
          </w:p>
        </w:tc>
        <w:tc>
          <w:tcPr>
            <w:tcW w:w="748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left"/>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中华人民共和国人力资源社会保障令第23号《劳务派遣许可实施办法》第二章第八条：“第八条申请经营劳务派遣业务的，申请人应当向许可机关提交下列材料：...</w:t>
            </w:r>
          </w:p>
          <w:p>
            <w:pPr>
              <w:keepNext w:val="0"/>
              <w:keepLines w:val="0"/>
              <w:pageBreakBefore w:val="0"/>
              <w:widowControl w:val="0"/>
              <w:kinsoku/>
              <w:wordWrap/>
              <w:overflowPunct/>
              <w:topLinePunct w:val="0"/>
              <w:autoSpaceDE/>
              <w:autoSpaceDN/>
              <w:bidi w:val="0"/>
              <w:adjustRightInd/>
              <w:snapToGrid/>
              <w:spacing w:line="300" w:lineRule="exact"/>
              <w:ind w:left="0" w:firstLine="0"/>
              <w:jc w:val="left"/>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(三)公司章程以及验资机构出具的验资报告或者财务审计报告...;</w:t>
            </w:r>
          </w:p>
          <w:p>
            <w:pPr>
              <w:keepNext w:val="0"/>
              <w:keepLines w:val="0"/>
              <w:pageBreakBefore w:val="0"/>
              <w:widowControl w:val="0"/>
              <w:kinsoku/>
              <w:wordWrap/>
              <w:overflowPunct/>
              <w:topLinePunct w:val="0"/>
              <w:autoSpaceDE/>
              <w:autoSpaceDN/>
              <w:bidi w:val="0"/>
              <w:adjustRightInd/>
              <w:snapToGrid/>
              <w:spacing w:line="300" w:lineRule="exact"/>
              <w:ind w:left="0" w:firstLine="0"/>
              <w:jc w:val="left"/>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所需材料：验资机构出具的验资报告或者财务审计报告</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会计事务所</w:t>
            </w:r>
          </w:p>
        </w:tc>
        <w:tc>
          <w:tcPr>
            <w:tcW w:w="96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双方协商</w:t>
            </w:r>
          </w:p>
        </w:tc>
        <w:tc>
          <w:tcPr>
            <w:tcW w:w="14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2" w:hRule="atLeast"/>
        </w:trPr>
        <w:tc>
          <w:tcPr>
            <w:tcW w:w="50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lang w:val="en-US" w:eastAsia="zh-CN"/>
              </w:rPr>
            </w:pPr>
            <w:r>
              <w:rPr>
                <w:rFonts w:hint="eastAsia" w:asciiTheme="majorEastAsia" w:hAnsiTheme="majorEastAsia" w:eastAsiaTheme="majorEastAsia" w:cstheme="majorEastAsia"/>
                <w:spacing w:val="6"/>
                <w:sz w:val="21"/>
                <w:szCs w:val="21"/>
                <w:lang w:val="en-US" w:eastAsia="zh-CN"/>
              </w:rPr>
              <w:t>13</w:t>
            </w:r>
          </w:p>
        </w:tc>
        <w:tc>
          <w:tcPr>
            <w:tcW w:w="83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lang w:val="en-US" w:eastAsia="zh-CN"/>
              </w:rPr>
            </w:pPr>
            <w:r>
              <w:rPr>
                <w:rFonts w:hint="eastAsia" w:asciiTheme="majorEastAsia" w:hAnsiTheme="majorEastAsia" w:eastAsiaTheme="majorEastAsia" w:cstheme="majorEastAsia"/>
                <w:spacing w:val="6"/>
                <w:sz w:val="21"/>
                <w:szCs w:val="21"/>
                <w:lang w:val="en-US" w:eastAsia="zh-CN"/>
              </w:rPr>
              <w:t>南阳市</w:t>
            </w:r>
          </w:p>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lang w:val="en-US" w:eastAsia="zh-CN"/>
              </w:rPr>
              <w:t>生态环境局内乡分局</w:t>
            </w:r>
          </w:p>
        </w:tc>
        <w:tc>
          <w:tcPr>
            <w:tcW w:w="163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lang w:val="en-US" w:eastAsia="zh-CN"/>
              </w:rPr>
            </w:pPr>
            <w:r>
              <w:rPr>
                <w:rFonts w:hint="eastAsia" w:asciiTheme="majorEastAsia" w:hAnsiTheme="majorEastAsia" w:eastAsiaTheme="majorEastAsia" w:cstheme="majorEastAsia"/>
                <w:spacing w:val="6"/>
                <w:sz w:val="21"/>
                <w:szCs w:val="21"/>
                <w:lang w:val="en-US" w:eastAsia="zh-CN"/>
              </w:rPr>
              <w:t>1.建设项目环境影响后评价报告的备案辐射类）2.建设项目环境影响后评价报告的备案（非辐射类）3.建设项目环境影响评价审批（海洋工程、核与辐射类</w:t>
            </w:r>
          </w:p>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lang w:val="en-US" w:eastAsia="zh-CN"/>
              </w:rPr>
              <w:t>除外）</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lang w:val="en-US" w:eastAsia="zh-CN"/>
              </w:rPr>
              <w:t>环境影响评价技术报告编制</w:t>
            </w:r>
          </w:p>
        </w:tc>
        <w:tc>
          <w:tcPr>
            <w:tcW w:w="748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left"/>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lang w:val="en-US" w:eastAsia="zh-CN"/>
              </w:rPr>
              <w:t>《中华人民共和国环境影响评价法》（2019）第十九条</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lang w:val="en-US" w:eastAsia="zh-CN"/>
              </w:rPr>
              <w:t>具备环境影响评价工程师的机构</w:t>
            </w:r>
          </w:p>
        </w:tc>
        <w:tc>
          <w:tcPr>
            <w:tcW w:w="96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lang w:val="en-US" w:eastAsia="zh-CN"/>
              </w:rPr>
              <w:t>双方协商</w:t>
            </w:r>
          </w:p>
        </w:tc>
        <w:tc>
          <w:tcPr>
            <w:tcW w:w="14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lang w:val="en-US" w:eastAsia="zh-CN"/>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24" w:hRule="atLeast"/>
        </w:trPr>
        <w:tc>
          <w:tcPr>
            <w:tcW w:w="50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lang w:val="en-US" w:eastAsia="zh-CN"/>
              </w:rPr>
            </w:pPr>
            <w:r>
              <w:rPr>
                <w:rFonts w:hint="eastAsia" w:asciiTheme="majorEastAsia" w:hAnsiTheme="majorEastAsia" w:eastAsiaTheme="majorEastAsia" w:cstheme="majorEastAsia"/>
                <w:spacing w:val="6"/>
                <w:sz w:val="21"/>
                <w:szCs w:val="21"/>
                <w:lang w:val="en-US" w:eastAsia="zh-CN"/>
              </w:rPr>
              <w:t>14</w:t>
            </w:r>
          </w:p>
        </w:tc>
        <w:tc>
          <w:tcPr>
            <w:tcW w:w="83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lang w:val="en-US" w:eastAsia="zh-CN"/>
              </w:rPr>
              <w:t>南阳市生态环境局内乡分局</w:t>
            </w:r>
          </w:p>
        </w:tc>
        <w:tc>
          <w:tcPr>
            <w:tcW w:w="163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lang w:val="en-US" w:eastAsia="zh-CN"/>
              </w:rPr>
              <w:t>入河排污口的设置和扩大审核</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lang w:val="en-US" w:eastAsia="zh-CN"/>
              </w:rPr>
              <w:t>入河排污口设置论证报告编制</w:t>
            </w:r>
          </w:p>
        </w:tc>
        <w:tc>
          <w:tcPr>
            <w:tcW w:w="748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left"/>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lang w:val="en-US" w:eastAsia="zh-CN"/>
              </w:rPr>
              <w:t>《入河排污口监督管理办法》（2015）第十条</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lang w:val="en-US" w:eastAsia="zh-CN"/>
              </w:rPr>
              <w:t>相应技术能力的机构</w:t>
            </w:r>
          </w:p>
        </w:tc>
        <w:tc>
          <w:tcPr>
            <w:tcW w:w="96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lang w:val="en-US" w:eastAsia="zh-CN"/>
              </w:rPr>
              <w:t>双方协商</w:t>
            </w:r>
          </w:p>
        </w:tc>
        <w:tc>
          <w:tcPr>
            <w:tcW w:w="14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lang w:val="en-US" w:eastAsia="zh-CN"/>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94" w:hRule="atLeast"/>
        </w:trPr>
        <w:tc>
          <w:tcPr>
            <w:tcW w:w="50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lang w:val="en-US" w:eastAsia="zh-CN"/>
              </w:rPr>
            </w:pPr>
            <w:r>
              <w:rPr>
                <w:rFonts w:hint="eastAsia" w:asciiTheme="majorEastAsia" w:hAnsiTheme="majorEastAsia" w:eastAsiaTheme="majorEastAsia" w:cstheme="majorEastAsia"/>
                <w:spacing w:val="6"/>
                <w:sz w:val="21"/>
                <w:szCs w:val="21"/>
                <w:lang w:val="en-US" w:eastAsia="zh-CN"/>
              </w:rPr>
              <w:t>15</w:t>
            </w:r>
          </w:p>
        </w:tc>
        <w:tc>
          <w:tcPr>
            <w:tcW w:w="83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县卫健委</w:t>
            </w:r>
          </w:p>
        </w:tc>
        <w:tc>
          <w:tcPr>
            <w:tcW w:w="163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lang w:val="en-US" w:eastAsia="zh-CN"/>
              </w:rPr>
              <w:t>医疗机构放射性职业病危害建设项目预评价报告审核</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lang w:val="en-US" w:eastAsia="zh-CN"/>
              </w:rPr>
              <w:t>医疗机构放射性职业病危害建设项目预评价报告</w:t>
            </w:r>
          </w:p>
        </w:tc>
        <w:tc>
          <w:tcPr>
            <w:tcW w:w="748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left"/>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lang w:val="en-US" w:eastAsia="zh-CN"/>
              </w:rPr>
              <w:t>一、《中华人民共和国职业病防治法》（2001年10月27日主席令第六十号，2018年12月29日予以修改）第十七条：新建、扩建、改建建设项目和技术改造、技术引进项目（以下统称建设项目）可能产生职业病危害的，建设单位在可行性论证阶段应当进行职业病危害预评价。医疗机构建设项目可能产生放射性职业病危害的，建设单位应当向卫生行政部门提交放射性职业病危害预评价报告。卫生行政部门应当自收到预评价报告之日起三十日内，作出审核决定并书面通知建设单位。未提交预评价报告或者预评价报告未经卫生行政部门审核同意的，不得开工建设。……第八十九条：对医疗机构放射性职业病危害控制的监督管理，由卫生行政部门依照本法的规定实施。</w:t>
            </w:r>
            <w:r>
              <w:rPr>
                <w:rFonts w:hint="eastAsia" w:asciiTheme="majorEastAsia" w:hAnsiTheme="majorEastAsia" w:eastAsiaTheme="majorEastAsia" w:cstheme="majorEastAsia"/>
                <w:spacing w:val="6"/>
                <w:sz w:val="21"/>
                <w:szCs w:val="21"/>
                <w:lang w:val="en-US" w:eastAsia="zh-CN"/>
              </w:rPr>
              <w:br w:type="textWrapping"/>
            </w:r>
            <w:r>
              <w:rPr>
                <w:rFonts w:hint="eastAsia" w:asciiTheme="majorEastAsia" w:hAnsiTheme="majorEastAsia" w:eastAsiaTheme="majorEastAsia" w:cstheme="majorEastAsia"/>
                <w:spacing w:val="6"/>
                <w:sz w:val="21"/>
                <w:szCs w:val="21"/>
                <w:lang w:val="en-US" w:eastAsia="zh-CN"/>
              </w:rPr>
              <w:t>二、《放射诊疗管理规定》（2006年1月24日卫生部令第46号，2016年1月19日予以修改）第十一条：医疗机构设置放射诊疗项目，应当按照其开展的放射诊疗工作的类别，分别向相应的卫生行政部门提出建设项目卫生审查、竣工验收和设置放射诊疗项目申请：（一）开展放射治疗、核医学工作的，向省级卫生行政部门申请办理；（二）开展介入放射学工作的，向设区的市级卫生行政部门申请办理；（三）开展X射线影像诊断工作的，向县级卫生行政部门申请办理。同时开展不同类别放射诊疗工作的，向具有高类别审批权的卫生行政部门申请办理。</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lang w:val="en-US" w:eastAsia="zh-CN"/>
              </w:rPr>
              <w:t>有甲级、乙级评价资质的放射卫生技术服务机构</w:t>
            </w:r>
          </w:p>
        </w:tc>
        <w:tc>
          <w:tcPr>
            <w:tcW w:w="96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lang w:val="en-US" w:eastAsia="zh-CN"/>
              </w:rPr>
              <w:t>双方协商约定</w:t>
            </w:r>
          </w:p>
        </w:tc>
        <w:tc>
          <w:tcPr>
            <w:tcW w:w="14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lang w:val="en-US" w:eastAsia="zh-CN"/>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42" w:hRule="atLeast"/>
        </w:trPr>
        <w:tc>
          <w:tcPr>
            <w:tcW w:w="50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lang w:val="en-US" w:eastAsia="zh-CN"/>
              </w:rPr>
            </w:pPr>
            <w:r>
              <w:rPr>
                <w:rFonts w:hint="eastAsia" w:asciiTheme="majorEastAsia" w:hAnsiTheme="majorEastAsia" w:eastAsiaTheme="majorEastAsia" w:cstheme="majorEastAsia"/>
                <w:spacing w:val="6"/>
                <w:sz w:val="21"/>
                <w:szCs w:val="21"/>
                <w:lang w:val="en-US" w:eastAsia="zh-CN"/>
              </w:rPr>
              <w:t>16</w:t>
            </w:r>
          </w:p>
        </w:tc>
        <w:tc>
          <w:tcPr>
            <w:tcW w:w="83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县卫健委</w:t>
            </w:r>
          </w:p>
        </w:tc>
        <w:tc>
          <w:tcPr>
            <w:tcW w:w="163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lang w:val="en-US" w:eastAsia="zh-CN"/>
              </w:rPr>
            </w:pPr>
            <w:r>
              <w:rPr>
                <w:rFonts w:hint="eastAsia" w:asciiTheme="majorEastAsia" w:hAnsiTheme="majorEastAsia" w:eastAsiaTheme="majorEastAsia" w:cstheme="majorEastAsia"/>
                <w:spacing w:val="6"/>
                <w:sz w:val="21"/>
                <w:szCs w:val="21"/>
                <w:lang w:val="en-US" w:eastAsia="zh-CN"/>
              </w:rPr>
              <w:t>医疗机构放射性职业病危害建设项目竣工验收（放射治疗、核医学除外）</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lang w:val="en-US" w:eastAsia="zh-CN"/>
              </w:rPr>
            </w:pPr>
            <w:r>
              <w:rPr>
                <w:rFonts w:hint="eastAsia" w:asciiTheme="majorEastAsia" w:hAnsiTheme="majorEastAsia" w:eastAsiaTheme="majorEastAsia" w:cstheme="majorEastAsia"/>
                <w:spacing w:val="6"/>
                <w:sz w:val="21"/>
                <w:szCs w:val="21"/>
                <w:lang w:val="en-US" w:eastAsia="zh-CN"/>
              </w:rPr>
              <w:t>医疗机构建设项目放射性职业病危害控制效果评价报告</w:t>
            </w:r>
          </w:p>
        </w:tc>
        <w:tc>
          <w:tcPr>
            <w:tcW w:w="748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left"/>
              <w:textAlignment w:val="auto"/>
              <w:rPr>
                <w:rFonts w:hint="eastAsia" w:asciiTheme="majorEastAsia" w:hAnsiTheme="majorEastAsia" w:eastAsiaTheme="majorEastAsia" w:cstheme="majorEastAsia"/>
                <w:spacing w:val="6"/>
                <w:sz w:val="21"/>
                <w:szCs w:val="21"/>
                <w:lang w:val="en-US" w:eastAsia="zh-CN"/>
              </w:rPr>
            </w:pPr>
            <w:r>
              <w:rPr>
                <w:rFonts w:hint="eastAsia" w:asciiTheme="majorEastAsia" w:hAnsiTheme="majorEastAsia" w:eastAsiaTheme="majorEastAsia" w:cstheme="majorEastAsia"/>
                <w:spacing w:val="6"/>
                <w:sz w:val="21"/>
                <w:szCs w:val="21"/>
                <w:lang w:val="en-US" w:eastAsia="zh-CN"/>
              </w:rPr>
              <w:t>一、《中华人民共和国职业病防治法》（2001年10月27日主席令第六十号，2018年12月29日予以修改）第十八条：……医疗机构可能产生放射性职业病危害的建设项目竣工验收时，其放射性职业病防护设施经卫生行政部门验收合格后，方可投入使用；……第八十七条：对医疗机构放射性职业病危害控制的监督管理，由卫生行政部门依照本法的规定实施。</w:t>
            </w:r>
            <w:r>
              <w:rPr>
                <w:rFonts w:hint="eastAsia" w:asciiTheme="majorEastAsia" w:hAnsiTheme="majorEastAsia" w:eastAsiaTheme="majorEastAsia" w:cstheme="majorEastAsia"/>
                <w:spacing w:val="6"/>
                <w:sz w:val="21"/>
                <w:szCs w:val="21"/>
                <w:lang w:val="en-US" w:eastAsia="zh-CN"/>
              </w:rPr>
              <w:br w:type="textWrapping"/>
            </w:r>
            <w:r>
              <w:rPr>
                <w:rFonts w:hint="eastAsia" w:asciiTheme="majorEastAsia" w:hAnsiTheme="majorEastAsia" w:eastAsiaTheme="majorEastAsia" w:cstheme="majorEastAsia"/>
                <w:spacing w:val="6"/>
                <w:sz w:val="21"/>
                <w:szCs w:val="21"/>
                <w:lang w:val="en-US" w:eastAsia="zh-CN"/>
              </w:rPr>
              <w:t>二、《放射诊疗管理规定》（2006年1月24日卫生部令第46号，2016年1月19日予以修改）第十三条医疗机构在放射诊疗建设项目竣工验收前，应当进行职业病危害控制效果评价；并向相应的卫生行政部门提交下列资料，申请进行卫生验收：（一）建设项目竣工卫生验收申请；（二）建设项目卫生审查资料；（三）职业病危害控制效果放射防护评价报告；（四）放射诊疗建设项目验收报告。立体定向放射治疗、质子治疗、重离子治疗、带回旋加速器的正电子发射断层扫描诊断等放射诊疗建设项目，应当提交卫生部指定的放射卫生技术机构出具的职业病危害控制效果评价报告技术审查意见和设备性能检测报告。</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lang w:val="en-US" w:eastAsia="zh-CN"/>
              </w:rPr>
            </w:pPr>
            <w:r>
              <w:rPr>
                <w:rFonts w:hint="eastAsia" w:asciiTheme="majorEastAsia" w:hAnsiTheme="majorEastAsia" w:eastAsiaTheme="majorEastAsia" w:cstheme="majorEastAsia"/>
                <w:spacing w:val="6"/>
                <w:sz w:val="21"/>
                <w:szCs w:val="21"/>
                <w:lang w:val="en-US" w:eastAsia="zh-CN"/>
              </w:rPr>
              <w:t>有甲级、乙级评价资质的放射卫生技术服务机构</w:t>
            </w:r>
          </w:p>
        </w:tc>
        <w:tc>
          <w:tcPr>
            <w:tcW w:w="96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lang w:val="en-US" w:eastAsia="zh-CN"/>
              </w:rPr>
            </w:pPr>
            <w:r>
              <w:rPr>
                <w:rFonts w:hint="eastAsia" w:asciiTheme="majorEastAsia" w:hAnsiTheme="majorEastAsia" w:eastAsiaTheme="majorEastAsia" w:cstheme="majorEastAsia"/>
                <w:spacing w:val="6"/>
                <w:sz w:val="21"/>
                <w:szCs w:val="21"/>
                <w:lang w:val="en-US" w:eastAsia="zh-CN"/>
              </w:rPr>
              <w:t>双方协商约定</w:t>
            </w:r>
          </w:p>
        </w:tc>
        <w:tc>
          <w:tcPr>
            <w:tcW w:w="14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lang w:val="en-US" w:eastAsia="zh-CN"/>
              </w:rPr>
            </w:pPr>
            <w:r>
              <w:rPr>
                <w:rFonts w:hint="eastAsia" w:asciiTheme="majorEastAsia" w:hAnsiTheme="majorEastAsia" w:eastAsiaTheme="majorEastAsia" w:cstheme="majorEastAsia"/>
                <w:spacing w:val="6"/>
                <w:sz w:val="21"/>
                <w:szCs w:val="21"/>
                <w:lang w:val="en-US" w:eastAsia="zh-CN"/>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0" w:hRule="atLeast"/>
        </w:trPr>
        <w:tc>
          <w:tcPr>
            <w:tcW w:w="50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lang w:val="en-US" w:eastAsia="zh-CN"/>
              </w:rPr>
            </w:pPr>
            <w:r>
              <w:rPr>
                <w:rFonts w:hint="eastAsia" w:asciiTheme="majorEastAsia" w:hAnsiTheme="majorEastAsia" w:eastAsiaTheme="majorEastAsia" w:cstheme="majorEastAsia"/>
                <w:spacing w:val="6"/>
                <w:sz w:val="21"/>
                <w:szCs w:val="21"/>
                <w:lang w:val="en-US" w:eastAsia="zh-CN"/>
              </w:rPr>
              <w:t>17</w:t>
            </w:r>
          </w:p>
        </w:tc>
        <w:tc>
          <w:tcPr>
            <w:tcW w:w="83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县卫健委</w:t>
            </w:r>
          </w:p>
        </w:tc>
        <w:tc>
          <w:tcPr>
            <w:tcW w:w="163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lang w:val="en-US" w:eastAsia="zh-CN"/>
              </w:rPr>
            </w:pPr>
            <w:r>
              <w:rPr>
                <w:rFonts w:hint="eastAsia" w:asciiTheme="majorEastAsia" w:hAnsiTheme="majorEastAsia" w:eastAsiaTheme="majorEastAsia" w:cstheme="majorEastAsia"/>
                <w:spacing w:val="6"/>
                <w:sz w:val="21"/>
                <w:szCs w:val="21"/>
                <w:lang w:val="en-US" w:eastAsia="zh-CN"/>
              </w:rPr>
              <w:t>饮用水供水单位卫生许可</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lang w:val="en-US" w:eastAsia="zh-CN"/>
              </w:rPr>
            </w:pPr>
            <w:r>
              <w:rPr>
                <w:rFonts w:hint="eastAsia" w:asciiTheme="majorEastAsia" w:hAnsiTheme="majorEastAsia" w:eastAsiaTheme="majorEastAsia" w:cstheme="majorEastAsia"/>
                <w:spacing w:val="6"/>
                <w:sz w:val="21"/>
                <w:szCs w:val="21"/>
                <w:lang w:val="en-US" w:eastAsia="zh-CN"/>
              </w:rPr>
              <w:t>3个月内出厂水、管网末梢水合格监测报告</w:t>
            </w:r>
          </w:p>
        </w:tc>
        <w:tc>
          <w:tcPr>
            <w:tcW w:w="748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left"/>
              <w:textAlignment w:val="auto"/>
              <w:rPr>
                <w:rFonts w:hint="eastAsia" w:asciiTheme="majorEastAsia" w:hAnsiTheme="majorEastAsia" w:eastAsiaTheme="majorEastAsia" w:cstheme="majorEastAsia"/>
                <w:spacing w:val="6"/>
                <w:sz w:val="21"/>
                <w:szCs w:val="21"/>
                <w:lang w:val="en-US" w:eastAsia="zh-CN"/>
              </w:rPr>
            </w:pPr>
            <w:r>
              <w:rPr>
                <w:rFonts w:hint="eastAsia" w:asciiTheme="majorEastAsia" w:hAnsiTheme="majorEastAsia" w:eastAsiaTheme="majorEastAsia" w:cstheme="majorEastAsia"/>
                <w:spacing w:val="6"/>
                <w:sz w:val="21"/>
                <w:szCs w:val="21"/>
                <w:lang w:val="en-US" w:eastAsia="zh-CN"/>
              </w:rPr>
              <w:t>《中华人民共和国传染病防治法》（1989年2月21日主席令第十五号，2013年6月29日予以修改）第二十九条：……饮用水供水单位从事生产或者供应活动，应当依法取得卫生许可证。</w:t>
            </w:r>
            <w:r>
              <w:rPr>
                <w:rFonts w:hint="eastAsia" w:asciiTheme="majorEastAsia" w:hAnsiTheme="majorEastAsia" w:eastAsiaTheme="majorEastAsia" w:cstheme="majorEastAsia"/>
                <w:spacing w:val="6"/>
                <w:sz w:val="21"/>
                <w:szCs w:val="21"/>
                <w:lang w:val="en-US" w:eastAsia="zh-CN"/>
              </w:rPr>
              <w:br w:type="textWrapping"/>
            </w:r>
            <w:r>
              <w:rPr>
                <w:rFonts w:hint="eastAsia" w:asciiTheme="majorEastAsia" w:hAnsiTheme="majorEastAsia" w:eastAsiaTheme="majorEastAsia" w:cstheme="majorEastAsia"/>
                <w:spacing w:val="6"/>
                <w:sz w:val="21"/>
                <w:szCs w:val="21"/>
                <w:lang w:val="en-US" w:eastAsia="zh-CN"/>
              </w:rPr>
              <w:t>《生活饮用水卫生监督管理办法》第六条供水单位供应的饮用水必须符合国家生活饮用水卫生标准。</w:t>
            </w:r>
            <w:r>
              <w:rPr>
                <w:rFonts w:hint="eastAsia" w:asciiTheme="majorEastAsia" w:hAnsiTheme="majorEastAsia" w:eastAsiaTheme="majorEastAsia" w:cstheme="majorEastAsia"/>
                <w:spacing w:val="6"/>
                <w:sz w:val="21"/>
                <w:szCs w:val="21"/>
                <w:lang w:val="en-US" w:eastAsia="zh-CN"/>
              </w:rPr>
              <w:br w:type="textWrapping"/>
            </w:r>
            <w:r>
              <w:rPr>
                <w:rFonts w:hint="eastAsia" w:asciiTheme="majorEastAsia" w:hAnsiTheme="majorEastAsia" w:eastAsiaTheme="majorEastAsia" w:cstheme="majorEastAsia"/>
                <w:spacing w:val="6"/>
                <w:sz w:val="21"/>
                <w:szCs w:val="21"/>
                <w:lang w:val="en-US" w:eastAsia="zh-CN"/>
              </w:rPr>
              <w:t>第七条集中式供水单位取得工商行政管理部门颁发的营业执照后，还应当取得县级以上地方人民政府卫生计生主管部门颁发的卫生许可证，方可供水。</w:t>
            </w:r>
            <w:r>
              <w:rPr>
                <w:rFonts w:hint="eastAsia" w:asciiTheme="majorEastAsia" w:hAnsiTheme="majorEastAsia" w:eastAsiaTheme="majorEastAsia" w:cstheme="majorEastAsia"/>
                <w:spacing w:val="6"/>
                <w:sz w:val="21"/>
                <w:szCs w:val="21"/>
                <w:lang w:val="en-US" w:eastAsia="zh-CN"/>
              </w:rPr>
              <w:br w:type="textWrapping"/>
            </w:r>
            <w:r>
              <w:rPr>
                <w:rFonts w:hint="eastAsia" w:asciiTheme="majorEastAsia" w:hAnsiTheme="majorEastAsia" w:eastAsiaTheme="majorEastAsia" w:cstheme="majorEastAsia"/>
                <w:spacing w:val="6"/>
                <w:sz w:val="21"/>
                <w:szCs w:val="21"/>
                <w:lang w:val="en-US" w:eastAsia="zh-CN"/>
              </w:rPr>
              <w:t>第十条集中式供水单位必须有水质净化消毒设施及必要的水质检验仪器、设备和人员，对水质进行日常性检验，并向当地人民政府卫生计生主管部门和住房城乡建设主管部门报送检测资料。城市自来水供水企业和自建设施对外供水的企业，其生产管理制度的建立和执行、人员上岗的资格和水质日常检测工作由城市住房城乡建设主管部门负责管理。</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lang w:val="en-US" w:eastAsia="zh-CN"/>
              </w:rPr>
            </w:pPr>
            <w:r>
              <w:rPr>
                <w:rFonts w:hint="eastAsia" w:asciiTheme="majorEastAsia" w:hAnsiTheme="majorEastAsia" w:eastAsiaTheme="majorEastAsia" w:cstheme="majorEastAsia"/>
                <w:spacing w:val="6"/>
                <w:sz w:val="21"/>
                <w:szCs w:val="21"/>
                <w:lang w:val="en-US" w:eastAsia="zh-CN"/>
              </w:rPr>
              <w:t>CMA检测机构</w:t>
            </w:r>
          </w:p>
        </w:tc>
        <w:tc>
          <w:tcPr>
            <w:tcW w:w="96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lang w:val="en-US" w:eastAsia="zh-CN"/>
              </w:rPr>
            </w:pPr>
            <w:r>
              <w:rPr>
                <w:rFonts w:hint="eastAsia" w:asciiTheme="majorEastAsia" w:hAnsiTheme="majorEastAsia" w:eastAsiaTheme="majorEastAsia" w:cstheme="majorEastAsia"/>
                <w:spacing w:val="6"/>
                <w:sz w:val="21"/>
                <w:szCs w:val="21"/>
                <w:lang w:val="en-US" w:eastAsia="zh-CN"/>
              </w:rPr>
              <w:t>双方协商约定</w:t>
            </w:r>
          </w:p>
        </w:tc>
        <w:tc>
          <w:tcPr>
            <w:tcW w:w="14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lang w:val="en-US" w:eastAsia="zh-CN"/>
              </w:rPr>
            </w:pPr>
            <w:r>
              <w:rPr>
                <w:rFonts w:hint="eastAsia" w:asciiTheme="majorEastAsia" w:hAnsiTheme="majorEastAsia" w:eastAsiaTheme="majorEastAsia" w:cstheme="majorEastAsia"/>
                <w:spacing w:val="6"/>
                <w:sz w:val="21"/>
                <w:szCs w:val="21"/>
                <w:lang w:val="en-US" w:eastAsia="zh-CN"/>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25" w:hRule="atLeast"/>
        </w:trPr>
        <w:tc>
          <w:tcPr>
            <w:tcW w:w="50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lang w:val="en-US" w:eastAsia="zh-CN"/>
              </w:rPr>
            </w:pPr>
            <w:r>
              <w:rPr>
                <w:rFonts w:hint="eastAsia" w:asciiTheme="majorEastAsia" w:hAnsiTheme="majorEastAsia" w:eastAsiaTheme="majorEastAsia" w:cstheme="majorEastAsia"/>
                <w:spacing w:val="6"/>
                <w:sz w:val="21"/>
                <w:szCs w:val="21"/>
                <w:lang w:val="en-US" w:eastAsia="zh-CN"/>
              </w:rPr>
              <w:t>18</w:t>
            </w:r>
          </w:p>
        </w:tc>
        <w:tc>
          <w:tcPr>
            <w:tcW w:w="83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县卫健委</w:t>
            </w:r>
          </w:p>
        </w:tc>
        <w:tc>
          <w:tcPr>
            <w:tcW w:w="163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lang w:val="en-US" w:eastAsia="zh-CN"/>
              </w:rPr>
            </w:pPr>
            <w:r>
              <w:rPr>
                <w:rFonts w:hint="eastAsia" w:asciiTheme="majorEastAsia" w:hAnsiTheme="majorEastAsia" w:eastAsiaTheme="majorEastAsia" w:cstheme="majorEastAsia"/>
                <w:spacing w:val="6"/>
                <w:sz w:val="21"/>
                <w:szCs w:val="21"/>
                <w:lang w:val="en-US" w:eastAsia="zh-CN"/>
              </w:rPr>
              <w:t>公共场所卫生许可</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lang w:val="en-US" w:eastAsia="zh-CN"/>
              </w:rPr>
            </w:pPr>
            <w:r>
              <w:rPr>
                <w:rFonts w:hint="eastAsia" w:asciiTheme="majorEastAsia" w:hAnsiTheme="majorEastAsia" w:eastAsiaTheme="majorEastAsia" w:cstheme="majorEastAsia"/>
                <w:spacing w:val="6"/>
                <w:sz w:val="21"/>
                <w:szCs w:val="21"/>
                <w:lang w:val="en-US" w:eastAsia="zh-CN"/>
              </w:rPr>
              <w:t>公共场所卫生检测报告</w:t>
            </w:r>
          </w:p>
        </w:tc>
        <w:tc>
          <w:tcPr>
            <w:tcW w:w="7484"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00" w:lineRule="exact"/>
              <w:ind w:left="0" w:firstLine="0"/>
              <w:jc w:val="left"/>
              <w:textAlignment w:val="auto"/>
              <w:rPr>
                <w:rFonts w:hint="eastAsia" w:asciiTheme="majorEastAsia" w:hAnsiTheme="majorEastAsia" w:eastAsiaTheme="majorEastAsia" w:cstheme="majorEastAsia"/>
                <w:spacing w:val="6"/>
                <w:sz w:val="21"/>
                <w:szCs w:val="21"/>
                <w:lang w:val="en-US" w:eastAsia="zh-CN"/>
              </w:rPr>
            </w:pPr>
            <w:r>
              <w:rPr>
                <w:rFonts w:hint="eastAsia" w:asciiTheme="majorEastAsia" w:hAnsiTheme="majorEastAsia" w:eastAsiaTheme="majorEastAsia" w:cstheme="majorEastAsia"/>
                <w:spacing w:val="6"/>
                <w:sz w:val="21"/>
                <w:szCs w:val="21"/>
                <w:lang w:val="en-US" w:eastAsia="zh-CN"/>
              </w:rPr>
              <w:t>《公共场所卫生管理条例》（国发〔1987〕24号）第四条：国家对公共场所以及新建、改建、扩建的公共场所的选址和设计实行“卫生许可证”制度。“卫生许可证”由县以上卫生行政部门签发。</w:t>
            </w:r>
            <w:r>
              <w:rPr>
                <w:rFonts w:hint="eastAsia" w:asciiTheme="majorEastAsia" w:hAnsiTheme="majorEastAsia" w:eastAsiaTheme="majorEastAsia" w:cstheme="majorEastAsia"/>
                <w:spacing w:val="6"/>
                <w:sz w:val="21"/>
                <w:szCs w:val="21"/>
                <w:lang w:val="en-US" w:eastAsia="zh-CN"/>
              </w:rPr>
              <w:br w:type="textWrapping"/>
            </w:r>
            <w:r>
              <w:rPr>
                <w:rFonts w:hint="eastAsia" w:asciiTheme="majorEastAsia" w:hAnsiTheme="majorEastAsia" w:eastAsiaTheme="majorEastAsia" w:cstheme="majorEastAsia"/>
                <w:spacing w:val="6"/>
                <w:sz w:val="21"/>
                <w:szCs w:val="21"/>
                <w:lang w:val="en-US" w:eastAsia="zh-CN"/>
              </w:rPr>
              <w:t>2.《公共场所卫生管理条例实施细则》（2011年3月10日卫生部令第80号）第二十二条：国家对公共场所实行卫生许可证管理。公共场所经营者应当按照规定向县级以上地方人民政府卫生计生行政部门申请卫生许可证。未取得卫生许可证的，不得营业。……</w:t>
            </w:r>
            <w:r>
              <w:rPr>
                <w:rFonts w:hint="eastAsia" w:asciiTheme="majorEastAsia" w:hAnsiTheme="majorEastAsia" w:eastAsiaTheme="majorEastAsia" w:cstheme="majorEastAsia"/>
                <w:spacing w:val="6"/>
                <w:sz w:val="21"/>
                <w:szCs w:val="21"/>
                <w:lang w:val="en-US" w:eastAsia="zh-CN"/>
              </w:rPr>
              <w:br w:type="textWrapping"/>
            </w:r>
            <w:r>
              <w:rPr>
                <w:rFonts w:hint="eastAsia" w:asciiTheme="majorEastAsia" w:hAnsiTheme="majorEastAsia" w:eastAsiaTheme="majorEastAsia" w:cstheme="majorEastAsia"/>
                <w:spacing w:val="6"/>
                <w:sz w:val="21"/>
                <w:szCs w:val="21"/>
                <w:lang w:val="en-US" w:eastAsia="zh-CN"/>
              </w:rPr>
              <w:t>3.《国务院关于第六批取消和调整行政审批项目的决定》（国发〔2012〕52号）下放管理层级的行政审批项目第49项：公共场所改、扩建卫生许可，下放至设区的市级、县级人民政府卫生行政部门。申请卫生许可证应当提交下列材料：（一）公共场所卫生许可申请表；（二）由取得计量认证合格证书的公共场所卫生技术服务机构一年内出具的公共场所卫生检测或评价报告;使用集中空调通风系统的，还应当提供一年内出具的集中空调通风系统卫生检测或评价报告；（三）公共场所卫生许可</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firstLine="0"/>
              <w:jc w:val="left"/>
              <w:textAlignment w:val="auto"/>
              <w:rPr>
                <w:rFonts w:hint="eastAsia" w:asciiTheme="majorEastAsia" w:hAnsiTheme="majorEastAsia" w:eastAsiaTheme="majorEastAsia" w:cstheme="majorEastAsia"/>
                <w:spacing w:val="6"/>
                <w:sz w:val="21"/>
                <w:szCs w:val="21"/>
                <w:lang w:val="en-US" w:eastAsia="zh-CN"/>
              </w:rPr>
            </w:pPr>
            <w:r>
              <w:rPr>
                <w:rFonts w:hint="eastAsia" w:asciiTheme="majorEastAsia" w:hAnsiTheme="majorEastAsia" w:eastAsiaTheme="majorEastAsia" w:cstheme="majorEastAsia"/>
                <w:spacing w:val="6"/>
                <w:sz w:val="21"/>
                <w:szCs w:val="21"/>
                <w:lang w:val="en-US" w:eastAsia="zh-CN"/>
              </w:rPr>
              <w:t>告知承诺书（新证）（四）公共场所地址方位示意图、平面图和卫生设施平面布局图；（五）公共场所卫生管理制度；（六）企业（个体）营业执照（或民办非企业单位登记证书,事业单位法人证书等经营主体证件）；（七）法定代表人或负责人身份证明；（八）从业人员（包括临时工）的名单和相应的健康合格证明。</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lang w:val="en-US" w:eastAsia="zh-CN"/>
              </w:rPr>
            </w:pPr>
            <w:r>
              <w:rPr>
                <w:rFonts w:hint="eastAsia" w:asciiTheme="majorEastAsia" w:hAnsiTheme="majorEastAsia" w:eastAsiaTheme="majorEastAsia" w:cstheme="majorEastAsia"/>
                <w:spacing w:val="6"/>
                <w:sz w:val="21"/>
                <w:szCs w:val="21"/>
                <w:lang w:val="en-US" w:eastAsia="zh-CN"/>
              </w:rPr>
              <w:t>需要具有卫生防疫资质的技术服务机构</w:t>
            </w:r>
          </w:p>
        </w:tc>
        <w:tc>
          <w:tcPr>
            <w:tcW w:w="96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lang w:val="en-US" w:eastAsia="zh-CN"/>
              </w:rPr>
            </w:pPr>
            <w:r>
              <w:rPr>
                <w:rFonts w:hint="eastAsia" w:asciiTheme="majorEastAsia" w:hAnsiTheme="majorEastAsia" w:eastAsiaTheme="majorEastAsia" w:cstheme="majorEastAsia"/>
                <w:spacing w:val="6"/>
                <w:sz w:val="21"/>
                <w:szCs w:val="21"/>
                <w:lang w:val="en-US" w:eastAsia="zh-CN"/>
              </w:rPr>
              <w:t>双方协商约定</w:t>
            </w:r>
          </w:p>
        </w:tc>
        <w:tc>
          <w:tcPr>
            <w:tcW w:w="14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lang w:val="en-US" w:eastAsia="zh-CN"/>
              </w:rPr>
            </w:pPr>
            <w:r>
              <w:rPr>
                <w:rFonts w:hint="eastAsia" w:asciiTheme="majorEastAsia" w:hAnsiTheme="majorEastAsia" w:eastAsiaTheme="majorEastAsia" w:cstheme="majorEastAsia"/>
                <w:spacing w:val="6"/>
                <w:sz w:val="21"/>
                <w:szCs w:val="21"/>
                <w:lang w:val="en-US" w:eastAsia="zh-CN"/>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1" w:hRule="atLeast"/>
        </w:trPr>
        <w:tc>
          <w:tcPr>
            <w:tcW w:w="50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lang w:val="en-US" w:eastAsia="zh-CN"/>
              </w:rPr>
            </w:pPr>
            <w:r>
              <w:rPr>
                <w:rFonts w:hint="eastAsia" w:asciiTheme="majorEastAsia" w:hAnsiTheme="majorEastAsia" w:eastAsiaTheme="majorEastAsia" w:cstheme="majorEastAsia"/>
                <w:spacing w:val="6"/>
                <w:sz w:val="21"/>
                <w:szCs w:val="21"/>
                <w:lang w:val="en-US" w:eastAsia="zh-CN"/>
              </w:rPr>
              <w:t>19</w:t>
            </w:r>
          </w:p>
        </w:tc>
        <w:tc>
          <w:tcPr>
            <w:tcW w:w="83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县卫健委</w:t>
            </w:r>
          </w:p>
        </w:tc>
        <w:tc>
          <w:tcPr>
            <w:tcW w:w="163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lang w:val="en-US" w:eastAsia="zh-CN"/>
              </w:rPr>
              <w:t>饮用水供水单位卫生许可（延续）</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lang w:val="en-US" w:eastAsia="zh-CN"/>
              </w:rPr>
              <w:t>饮用水供水单位水合格监测报告</w:t>
            </w:r>
          </w:p>
        </w:tc>
        <w:tc>
          <w:tcPr>
            <w:tcW w:w="748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left"/>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lang w:val="en-US" w:eastAsia="zh-CN"/>
              </w:rPr>
              <w:t>《中华人民共和国传染病防治法》（1989年2月21日主席令第十五号，2013年6月29日予以修改）第二十九条：……饮用水供水单位从事生产或者供应活动，应当依法取得卫生许可证。</w:t>
            </w:r>
            <w:r>
              <w:rPr>
                <w:rFonts w:hint="eastAsia" w:asciiTheme="majorEastAsia" w:hAnsiTheme="majorEastAsia" w:eastAsiaTheme="majorEastAsia" w:cstheme="majorEastAsia"/>
                <w:spacing w:val="6"/>
                <w:sz w:val="21"/>
                <w:szCs w:val="21"/>
                <w:lang w:val="en-US" w:eastAsia="zh-CN"/>
              </w:rPr>
              <w:br w:type="textWrapping"/>
            </w:r>
            <w:r>
              <w:rPr>
                <w:rFonts w:hint="eastAsia" w:asciiTheme="majorEastAsia" w:hAnsiTheme="majorEastAsia" w:eastAsiaTheme="majorEastAsia" w:cstheme="majorEastAsia"/>
                <w:spacing w:val="6"/>
                <w:sz w:val="21"/>
                <w:szCs w:val="21"/>
                <w:lang w:val="en-US" w:eastAsia="zh-CN"/>
              </w:rPr>
              <w:t>《生活饮用水卫生监督管理办法》第十条集中式供水单位必须有水质净化消毒设施及必要的水质检验仪器、设备和人员，对水质进行日常性检验，并向当地人民政府卫生计生主管部门和住房城乡建设主管部门报送检测资料。城市自来水供水企业和自建设施对外供水的企业，其生产管理制度的建立和执行、人员上岗的资格和水质日常检测工作由城市住房城乡建设主管部门负责管理。</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lang w:val="en-US" w:eastAsia="zh-CN"/>
              </w:rPr>
              <w:t>CMA检测机构</w:t>
            </w:r>
          </w:p>
        </w:tc>
        <w:tc>
          <w:tcPr>
            <w:tcW w:w="96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lang w:val="en-US" w:eastAsia="zh-CN"/>
              </w:rPr>
              <w:t>双方协商约定</w:t>
            </w:r>
          </w:p>
        </w:tc>
        <w:tc>
          <w:tcPr>
            <w:tcW w:w="14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lang w:val="en-US" w:eastAsia="zh-CN"/>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0" w:hRule="atLeast"/>
        </w:trPr>
        <w:tc>
          <w:tcPr>
            <w:tcW w:w="50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lang w:val="en-US" w:eastAsia="zh-CN"/>
              </w:rPr>
            </w:pPr>
            <w:r>
              <w:rPr>
                <w:rFonts w:hint="eastAsia" w:asciiTheme="majorEastAsia" w:hAnsiTheme="majorEastAsia" w:eastAsiaTheme="majorEastAsia" w:cstheme="majorEastAsia"/>
                <w:spacing w:val="6"/>
                <w:sz w:val="21"/>
                <w:szCs w:val="21"/>
                <w:lang w:val="en-US" w:eastAsia="zh-CN"/>
              </w:rPr>
              <w:t>20</w:t>
            </w:r>
          </w:p>
        </w:tc>
        <w:tc>
          <w:tcPr>
            <w:tcW w:w="83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县卫健委</w:t>
            </w:r>
          </w:p>
        </w:tc>
        <w:tc>
          <w:tcPr>
            <w:tcW w:w="163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lang w:val="en-US" w:eastAsia="zh-CN"/>
              </w:rPr>
              <w:t>放射源诊疗技术和医用辐射机构许可（校验）</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lang w:val="en-US" w:eastAsia="zh-CN"/>
              </w:rPr>
              <w:t>设备性能和防护检测报告</w:t>
            </w:r>
          </w:p>
        </w:tc>
        <w:tc>
          <w:tcPr>
            <w:tcW w:w="748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left"/>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lang w:val="en-US" w:eastAsia="zh-CN"/>
              </w:rPr>
              <w:t>1.《放射诊疗管理规定》（卫生部令第46号）第十七条第一款：“《放射诊疗许可证》与《医疗机构执业许可证》同时校验，申请校验时应当提交本周期有关放射诊疗设备性能与辐射工作场所的检测报告、放射诊疗工作人员健康监护资料和工作开展情况报告。”</w:t>
            </w:r>
            <w:r>
              <w:rPr>
                <w:rFonts w:hint="eastAsia" w:asciiTheme="majorEastAsia" w:hAnsiTheme="majorEastAsia" w:eastAsiaTheme="majorEastAsia" w:cstheme="majorEastAsia"/>
                <w:spacing w:val="6"/>
                <w:sz w:val="21"/>
                <w:szCs w:val="21"/>
                <w:lang w:val="en-US" w:eastAsia="zh-CN"/>
              </w:rPr>
              <w:br w:type="textWrapping"/>
            </w:r>
            <w:r>
              <w:rPr>
                <w:rFonts w:hint="eastAsia" w:asciiTheme="majorEastAsia" w:hAnsiTheme="majorEastAsia" w:eastAsiaTheme="majorEastAsia" w:cstheme="majorEastAsia"/>
                <w:spacing w:val="6"/>
                <w:sz w:val="21"/>
                <w:szCs w:val="21"/>
                <w:lang w:val="en-US" w:eastAsia="zh-CN"/>
              </w:rPr>
              <w:t>2.《关于印发放射诊疗许可证发放管理程序的通知》（卫监督发〔2006〕479号）附件第十八条医疗机构《放射诊疗许可证》的校验与《医疗机构执业许可证》校验一并进行，并由核发《医疗机构执业许可证》的卫生行政部门负责具体校验事宜。医疗机构应当提交下列材料：（一）《放射诊疗许可证》正、副本；（二）放射诊疗设备、人员清单及变动情况；（三）放射工作人员个人剂量监测、健康检查和教育培训情况；（四）放射防护与质量控制管理与检测情况及检测报告；（五）放射事件发生与处理情况。校验部门自接到申请之日起30个工作日内，对申报材料进行审查，必要时可请有关专业技术人员或专业技术管理部门提出评价意见，符合要求的，予以校验；不符合要求的，提出整改意见，要求医疗机构限期整改。</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lang w:val="en-US" w:eastAsia="zh-CN"/>
              </w:rPr>
              <w:t>有甲级、乙级评价资质的放射卫生技术服务机构</w:t>
            </w:r>
          </w:p>
        </w:tc>
        <w:tc>
          <w:tcPr>
            <w:tcW w:w="96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lang w:val="en-US" w:eastAsia="zh-CN"/>
              </w:rPr>
              <w:t>双方协商约定</w:t>
            </w:r>
          </w:p>
        </w:tc>
        <w:tc>
          <w:tcPr>
            <w:tcW w:w="14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lang w:val="en-US" w:eastAsia="zh-CN"/>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0" w:hRule="atLeast"/>
        </w:trPr>
        <w:tc>
          <w:tcPr>
            <w:tcW w:w="50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lang w:val="en-US" w:eastAsia="zh-CN"/>
              </w:rPr>
            </w:pPr>
            <w:r>
              <w:rPr>
                <w:rFonts w:hint="eastAsia" w:asciiTheme="majorEastAsia" w:hAnsiTheme="majorEastAsia" w:eastAsiaTheme="majorEastAsia" w:cstheme="majorEastAsia"/>
                <w:spacing w:val="6"/>
                <w:sz w:val="21"/>
                <w:szCs w:val="21"/>
                <w:lang w:val="en-US" w:eastAsia="zh-CN"/>
              </w:rPr>
              <w:t>21</w:t>
            </w:r>
          </w:p>
        </w:tc>
        <w:tc>
          <w:tcPr>
            <w:tcW w:w="83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县卫健委</w:t>
            </w:r>
          </w:p>
        </w:tc>
        <w:tc>
          <w:tcPr>
            <w:tcW w:w="163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lang w:val="en-US" w:eastAsia="zh-CN"/>
              </w:rPr>
              <w:t>放射源诊疗技术和医用辐射机构许可（校验）</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lang w:val="en-US" w:eastAsia="zh-CN"/>
              </w:rPr>
              <w:t>放射工作人员个人剂量检测报告</w:t>
            </w:r>
          </w:p>
        </w:tc>
        <w:tc>
          <w:tcPr>
            <w:tcW w:w="748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left"/>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lang w:val="en-US" w:eastAsia="zh-CN"/>
              </w:rPr>
              <w:t>1.《放射诊疗管理规定》（卫生部令第46号）第十七条第一款：“《放射诊疗许可证》与《医疗机构执业许可证》同时校验，申请校验时应当提交本周期有关放射诊疗设备性能与辐射工作场所的检测报告、放射诊疗工作人员健康监护资料和工作开展情况报告。”</w:t>
            </w:r>
            <w:r>
              <w:rPr>
                <w:rFonts w:hint="eastAsia" w:asciiTheme="majorEastAsia" w:hAnsiTheme="majorEastAsia" w:eastAsiaTheme="majorEastAsia" w:cstheme="majorEastAsia"/>
                <w:spacing w:val="6"/>
                <w:sz w:val="21"/>
                <w:szCs w:val="21"/>
                <w:lang w:val="en-US" w:eastAsia="zh-CN"/>
              </w:rPr>
              <w:br w:type="textWrapping"/>
            </w:r>
            <w:r>
              <w:rPr>
                <w:rFonts w:hint="eastAsia" w:asciiTheme="majorEastAsia" w:hAnsiTheme="majorEastAsia" w:eastAsiaTheme="majorEastAsia" w:cstheme="majorEastAsia"/>
                <w:spacing w:val="6"/>
                <w:sz w:val="21"/>
                <w:szCs w:val="21"/>
                <w:lang w:val="en-US" w:eastAsia="zh-CN"/>
              </w:rPr>
              <w:t>2.《关于印发放射诊疗许可证发放管理程序的通知》（卫监督发〔2006〕479号）附件第十八条医疗机构《放射诊疗许可证》的校验与《医疗机构执业许可证》校验一并进行，并由核发《医疗机构执业许可证》的卫生行政部门负责具体校验事宜。医疗机构应当提交下列材料：（一）《放射诊疗许可证》正、副本；（二）放射诊疗设备、人员清单及变动情况；（三）放射工作人员个人剂量监测、健康检查和教育培训情况；（四）放射防护与质量控制管理与检测情况及检测报告；（五）放射事件发生与处理情况。校验部门自接到申请之日起30个工作日内，对申报材料进行审查，必要时可请有关专业技术人员或专业技术管理部门提出评价意见，符合要求的，予以校验；不符合要求的，提出整改意见，要求医疗机构限期整改。</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lang w:val="en-US" w:eastAsia="zh-CN"/>
              </w:rPr>
              <w:t>有甲级、乙级评价资质的放射卫生技术服务机构</w:t>
            </w:r>
          </w:p>
        </w:tc>
        <w:tc>
          <w:tcPr>
            <w:tcW w:w="96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lang w:val="en-US" w:eastAsia="zh-CN"/>
              </w:rPr>
              <w:t>双方协商约定</w:t>
            </w:r>
          </w:p>
        </w:tc>
        <w:tc>
          <w:tcPr>
            <w:tcW w:w="14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lang w:val="en-US" w:eastAsia="zh-CN"/>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69" w:hRule="atLeast"/>
        </w:trPr>
        <w:tc>
          <w:tcPr>
            <w:tcW w:w="50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lang w:val="en-US" w:eastAsia="zh-CN"/>
              </w:rPr>
            </w:pPr>
            <w:r>
              <w:rPr>
                <w:rFonts w:hint="eastAsia" w:asciiTheme="majorEastAsia" w:hAnsiTheme="majorEastAsia" w:eastAsiaTheme="majorEastAsia" w:cstheme="majorEastAsia"/>
                <w:spacing w:val="6"/>
                <w:sz w:val="21"/>
                <w:szCs w:val="21"/>
                <w:lang w:val="en-US" w:eastAsia="zh-CN"/>
              </w:rPr>
              <w:t>22</w:t>
            </w:r>
          </w:p>
        </w:tc>
        <w:tc>
          <w:tcPr>
            <w:tcW w:w="83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lang w:val="en-US" w:eastAsia="zh-CN"/>
              </w:rPr>
              <w:t>县发改委</w:t>
            </w:r>
          </w:p>
        </w:tc>
        <w:tc>
          <w:tcPr>
            <w:tcW w:w="163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lang w:val="en-US" w:eastAsia="zh-CN"/>
              </w:rPr>
            </w:pPr>
            <w:r>
              <w:rPr>
                <w:rFonts w:hint="eastAsia" w:asciiTheme="majorEastAsia" w:hAnsiTheme="majorEastAsia" w:eastAsiaTheme="majorEastAsia" w:cstheme="majorEastAsia"/>
                <w:spacing w:val="6"/>
                <w:sz w:val="21"/>
                <w:szCs w:val="21"/>
                <w:lang w:val="en-US" w:eastAsia="zh-CN"/>
              </w:rPr>
              <w:t>《政府核准的投资项目目录（河南省）》确定的项目申请报告</w:t>
            </w:r>
          </w:p>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lang w:val="en-US" w:eastAsia="zh-CN"/>
              </w:rPr>
              <w:t>评审</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lang w:val="en-US" w:eastAsia="zh-CN"/>
              </w:rPr>
            </w:pPr>
            <w:r>
              <w:rPr>
                <w:rFonts w:hint="eastAsia" w:asciiTheme="majorEastAsia" w:hAnsiTheme="majorEastAsia" w:eastAsiaTheme="majorEastAsia" w:cstheme="majorEastAsia"/>
                <w:spacing w:val="6"/>
                <w:sz w:val="21"/>
                <w:szCs w:val="21"/>
                <w:lang w:val="en-US" w:eastAsia="zh-CN"/>
              </w:rPr>
              <w:t>《政府核准的投资项目目录（河南省）》确定的项目</w:t>
            </w:r>
          </w:p>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lang w:val="en-US" w:eastAsia="zh-CN"/>
              </w:rPr>
              <w:t>审核（核准）</w:t>
            </w:r>
          </w:p>
        </w:tc>
        <w:tc>
          <w:tcPr>
            <w:tcW w:w="748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left"/>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lang w:val="en-US" w:eastAsia="zh-CN"/>
              </w:rPr>
              <w:t>1.《企业投资项目核准和管理条例》（国务院令第673号）第九条</w:t>
            </w:r>
            <w:r>
              <w:rPr>
                <w:rFonts w:hint="eastAsia" w:asciiTheme="majorEastAsia" w:hAnsiTheme="majorEastAsia" w:eastAsiaTheme="majorEastAsia" w:cstheme="majorEastAsia"/>
                <w:spacing w:val="6"/>
                <w:sz w:val="21"/>
                <w:szCs w:val="21"/>
                <w:lang w:val="en-US" w:eastAsia="zh-CN"/>
              </w:rPr>
              <w:br w:type="textWrapping"/>
            </w:r>
            <w:r>
              <w:rPr>
                <w:rFonts w:hint="eastAsia" w:asciiTheme="majorEastAsia" w:hAnsiTheme="majorEastAsia" w:eastAsiaTheme="majorEastAsia" w:cstheme="majorEastAsia"/>
                <w:spacing w:val="6"/>
                <w:sz w:val="21"/>
                <w:szCs w:val="21"/>
                <w:lang w:val="en-US" w:eastAsia="zh-CN"/>
              </w:rPr>
              <w:t>2.《企业投资项目核准和备案管理办法》（国家发展改革委令第2号）第二十六条</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lang w:val="en-US" w:eastAsia="zh-CN"/>
              </w:rPr>
              <w:t>具备相应工程咨询资信的机构</w:t>
            </w:r>
          </w:p>
        </w:tc>
        <w:tc>
          <w:tcPr>
            <w:tcW w:w="96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lang w:val="en-US" w:eastAsia="zh-CN"/>
              </w:rPr>
              <w:t>15个工作日</w:t>
            </w:r>
          </w:p>
        </w:tc>
        <w:tc>
          <w:tcPr>
            <w:tcW w:w="14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lang w:val="en-US" w:eastAsia="zh-CN"/>
              </w:rPr>
              <w:t>纳入财政预算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65" w:hRule="atLeast"/>
        </w:trPr>
        <w:tc>
          <w:tcPr>
            <w:tcW w:w="50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lang w:val="en-US" w:eastAsia="zh-CN"/>
              </w:rPr>
            </w:pPr>
            <w:r>
              <w:rPr>
                <w:rFonts w:hint="eastAsia" w:asciiTheme="majorEastAsia" w:hAnsiTheme="majorEastAsia" w:eastAsiaTheme="majorEastAsia" w:cstheme="majorEastAsia"/>
                <w:spacing w:val="6"/>
                <w:sz w:val="21"/>
                <w:szCs w:val="21"/>
                <w:lang w:val="en-US" w:eastAsia="zh-CN"/>
              </w:rPr>
              <w:t>23</w:t>
            </w:r>
          </w:p>
        </w:tc>
        <w:tc>
          <w:tcPr>
            <w:tcW w:w="83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lang w:val="en-US" w:eastAsia="zh-CN"/>
              </w:rPr>
              <w:t>县发改委</w:t>
            </w:r>
          </w:p>
        </w:tc>
        <w:tc>
          <w:tcPr>
            <w:tcW w:w="163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lang w:val="en-US" w:eastAsia="zh-CN"/>
              </w:rPr>
            </w:pPr>
            <w:r>
              <w:rPr>
                <w:rFonts w:hint="eastAsia" w:asciiTheme="majorEastAsia" w:hAnsiTheme="majorEastAsia" w:eastAsiaTheme="majorEastAsia" w:cstheme="majorEastAsia"/>
                <w:spacing w:val="6"/>
                <w:sz w:val="21"/>
                <w:szCs w:val="21"/>
                <w:lang w:val="en-US" w:eastAsia="zh-CN"/>
              </w:rPr>
              <w:t>政府投资项目可行性研究报告</w:t>
            </w:r>
          </w:p>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lang w:val="en-US" w:eastAsia="zh-CN"/>
              </w:rPr>
              <w:t>评审</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lang w:val="en-US" w:eastAsia="zh-CN"/>
              </w:rPr>
            </w:pPr>
            <w:r>
              <w:rPr>
                <w:rFonts w:hint="eastAsia" w:asciiTheme="majorEastAsia" w:hAnsiTheme="majorEastAsia" w:eastAsiaTheme="majorEastAsia" w:cstheme="majorEastAsia"/>
                <w:spacing w:val="6"/>
                <w:sz w:val="21"/>
                <w:szCs w:val="21"/>
                <w:lang w:val="en-US" w:eastAsia="zh-CN"/>
              </w:rPr>
              <w:t>政府投资项目可行性研究</w:t>
            </w:r>
          </w:p>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lang w:val="en-US" w:eastAsia="zh-CN"/>
              </w:rPr>
              <w:t>报告审批</w:t>
            </w:r>
          </w:p>
        </w:tc>
        <w:tc>
          <w:tcPr>
            <w:tcW w:w="748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left"/>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lang w:val="en-US" w:eastAsia="zh-CN"/>
              </w:rPr>
              <w:t>《政府投资条例》（国务院令第712号）第九条</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lang w:val="en-US" w:eastAsia="zh-CN"/>
              </w:rPr>
              <w:t>具备相应工程咨询资信的机构</w:t>
            </w:r>
          </w:p>
        </w:tc>
        <w:tc>
          <w:tcPr>
            <w:tcW w:w="96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lang w:val="en-US" w:eastAsia="zh-CN"/>
              </w:rPr>
              <w:t>15个工作日</w:t>
            </w:r>
          </w:p>
        </w:tc>
        <w:tc>
          <w:tcPr>
            <w:tcW w:w="14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lang w:val="en-US" w:eastAsia="zh-CN"/>
              </w:rPr>
              <w:t>纳入财政预算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3" w:hRule="atLeast"/>
        </w:trPr>
        <w:tc>
          <w:tcPr>
            <w:tcW w:w="50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lang w:val="en-US" w:eastAsia="zh-CN"/>
              </w:rPr>
            </w:pPr>
            <w:r>
              <w:rPr>
                <w:rFonts w:hint="eastAsia" w:asciiTheme="majorEastAsia" w:hAnsiTheme="majorEastAsia" w:eastAsiaTheme="majorEastAsia" w:cstheme="majorEastAsia"/>
                <w:spacing w:val="6"/>
                <w:sz w:val="21"/>
                <w:szCs w:val="21"/>
              </w:rPr>
              <w:t>2</w:t>
            </w:r>
            <w:r>
              <w:rPr>
                <w:rFonts w:hint="eastAsia" w:asciiTheme="majorEastAsia" w:hAnsiTheme="majorEastAsia" w:eastAsiaTheme="majorEastAsia" w:cstheme="majorEastAsia"/>
                <w:spacing w:val="6"/>
                <w:sz w:val="21"/>
                <w:szCs w:val="21"/>
                <w:lang w:val="en-US" w:eastAsia="zh-CN"/>
              </w:rPr>
              <w:t>4</w:t>
            </w:r>
          </w:p>
        </w:tc>
        <w:tc>
          <w:tcPr>
            <w:tcW w:w="83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lang w:val="en-US" w:eastAsia="zh-CN"/>
              </w:rPr>
              <w:t>县发改委</w:t>
            </w:r>
          </w:p>
        </w:tc>
        <w:tc>
          <w:tcPr>
            <w:tcW w:w="163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lang w:val="en-US" w:eastAsia="zh-CN"/>
              </w:rPr>
            </w:pPr>
            <w:r>
              <w:rPr>
                <w:rFonts w:hint="eastAsia" w:asciiTheme="majorEastAsia" w:hAnsiTheme="majorEastAsia" w:eastAsiaTheme="majorEastAsia" w:cstheme="majorEastAsia"/>
                <w:spacing w:val="6"/>
                <w:sz w:val="21"/>
                <w:szCs w:val="21"/>
                <w:lang w:val="en-US" w:eastAsia="zh-CN"/>
              </w:rPr>
              <w:t>政府投资项目初步设计及概算</w:t>
            </w:r>
          </w:p>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lang w:val="en-US" w:eastAsia="zh-CN"/>
              </w:rPr>
              <w:t>评审</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lang w:val="en-US" w:eastAsia="zh-CN"/>
              </w:rPr>
            </w:pPr>
            <w:r>
              <w:rPr>
                <w:rFonts w:hint="eastAsia" w:asciiTheme="majorEastAsia" w:hAnsiTheme="majorEastAsia" w:eastAsiaTheme="majorEastAsia" w:cstheme="majorEastAsia"/>
                <w:spacing w:val="6"/>
                <w:sz w:val="21"/>
                <w:szCs w:val="21"/>
                <w:lang w:val="en-US" w:eastAsia="zh-CN"/>
              </w:rPr>
              <w:t>政府投资项目初步设计及</w:t>
            </w:r>
          </w:p>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lang w:val="en-US" w:eastAsia="zh-CN"/>
              </w:rPr>
              <w:t>概算审批</w:t>
            </w:r>
          </w:p>
        </w:tc>
        <w:tc>
          <w:tcPr>
            <w:tcW w:w="748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left"/>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lang w:val="en-US" w:eastAsia="zh-CN"/>
              </w:rPr>
              <w:t>《政府投资条例》（国务院令第712号）第九条</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lang w:val="en-US" w:eastAsia="zh-CN"/>
              </w:rPr>
              <w:t>具备相应工程咨询资信的机构</w:t>
            </w:r>
          </w:p>
        </w:tc>
        <w:tc>
          <w:tcPr>
            <w:tcW w:w="96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lang w:val="en-US" w:eastAsia="zh-CN"/>
              </w:rPr>
              <w:t>15个工作日</w:t>
            </w:r>
          </w:p>
        </w:tc>
        <w:tc>
          <w:tcPr>
            <w:tcW w:w="14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lang w:val="en-US" w:eastAsia="zh-CN"/>
              </w:rPr>
              <w:t>纳入财政预算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0" w:hRule="atLeast"/>
        </w:trPr>
        <w:tc>
          <w:tcPr>
            <w:tcW w:w="50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lang w:val="en-US" w:eastAsia="zh-CN"/>
              </w:rPr>
            </w:pPr>
            <w:r>
              <w:rPr>
                <w:rFonts w:hint="eastAsia" w:asciiTheme="majorEastAsia" w:hAnsiTheme="majorEastAsia" w:eastAsiaTheme="majorEastAsia" w:cstheme="majorEastAsia"/>
                <w:spacing w:val="6"/>
                <w:sz w:val="21"/>
                <w:szCs w:val="21"/>
              </w:rPr>
              <w:t>2</w:t>
            </w:r>
            <w:r>
              <w:rPr>
                <w:rFonts w:hint="eastAsia" w:asciiTheme="majorEastAsia" w:hAnsiTheme="majorEastAsia" w:eastAsiaTheme="majorEastAsia" w:cstheme="majorEastAsia"/>
                <w:spacing w:val="6"/>
                <w:sz w:val="21"/>
                <w:szCs w:val="21"/>
                <w:lang w:val="en-US" w:eastAsia="zh-CN"/>
              </w:rPr>
              <w:t>5</w:t>
            </w:r>
          </w:p>
        </w:tc>
        <w:tc>
          <w:tcPr>
            <w:tcW w:w="83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县城管局</w:t>
            </w:r>
          </w:p>
        </w:tc>
        <w:tc>
          <w:tcPr>
            <w:tcW w:w="163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市政设施建</w:t>
            </w:r>
          </w:p>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设类审批(临</w:t>
            </w:r>
          </w:p>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时占用城市</w:t>
            </w:r>
          </w:p>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道路许可)</w:t>
            </w:r>
          </w:p>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(挖掘城市</w:t>
            </w:r>
          </w:p>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道路许可)</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大型施工项目</w:t>
            </w:r>
          </w:p>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施工图纸材料、施工图纸技术设计材料</w:t>
            </w:r>
          </w:p>
        </w:tc>
        <w:tc>
          <w:tcPr>
            <w:tcW w:w="748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left"/>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城市道路管理条例》(1996年6月4日国务院令第198号，2011年1月1日予以修改)第三十条：未经市政工程行政主管部门和公安交通管理部门批准，任何单位和个人不得占用或挖掘城市道路。第三十一条：因特殊情况需要临时占用城市道路的，须经市政工程行政主管部门和公安交通管理部门批准，方可按照规定占用。第三十三条：因工程建设需要挖掘城市道路的，应当持城市规划部门批准签发的文件和有关设计文件，到市政工程行政主管部门和公安交通管理部门办理审批手续，方可按照规定挖掘。新建、扩建、改建的城市道路交付使用后5年内、大修的城市道路竣工后3年内不得挖掘；因特殊情况需要挖掘的，须经县级以上城市人民政府批准。</w:t>
            </w:r>
          </w:p>
          <w:p>
            <w:pPr>
              <w:keepNext w:val="0"/>
              <w:keepLines w:val="0"/>
              <w:pageBreakBefore w:val="0"/>
              <w:widowControl w:val="0"/>
              <w:kinsoku/>
              <w:wordWrap/>
              <w:overflowPunct/>
              <w:topLinePunct w:val="0"/>
              <w:autoSpaceDE/>
              <w:autoSpaceDN/>
              <w:bidi w:val="0"/>
              <w:adjustRightInd/>
              <w:snapToGrid/>
              <w:spacing w:line="300" w:lineRule="exact"/>
              <w:ind w:left="0" w:firstLine="0"/>
              <w:jc w:val="left"/>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城市道路管理条例》(1996年6月4日国务院令第198号，2011年1月1日予以修改)第二十九条：依附于城市道路建设各种管线、杆线等设施的，应当经市政工程行政主管部门批准，方可建设。《国务院对确需保留的行政审批项目设定行政许可的决定》(2004年6月29日国务院令第412号，2009年1月29日予以修改)附件第109项：城市桥梁上架设各类市政管线审批，实施机关：所在城市的市人民政府市政工程设施行政主管部门。</w:t>
            </w:r>
          </w:p>
          <w:p>
            <w:pPr>
              <w:keepNext w:val="0"/>
              <w:keepLines w:val="0"/>
              <w:pageBreakBefore w:val="0"/>
              <w:widowControl w:val="0"/>
              <w:kinsoku/>
              <w:wordWrap/>
              <w:overflowPunct/>
              <w:topLinePunct w:val="0"/>
              <w:autoSpaceDE/>
              <w:autoSpaceDN/>
              <w:bidi w:val="0"/>
              <w:adjustRightInd/>
              <w:snapToGrid/>
              <w:spacing w:line="300" w:lineRule="exact"/>
              <w:ind w:left="0" w:firstLine="0"/>
              <w:jc w:val="left"/>
              <w:textAlignment w:val="auto"/>
              <w:rPr>
                <w:rFonts w:hint="eastAsia" w:asciiTheme="majorEastAsia" w:hAnsiTheme="majorEastAsia" w:eastAsiaTheme="majorEastAsia" w:cstheme="majorEastAsia"/>
                <w:spacing w:val="6"/>
                <w:sz w:val="21"/>
                <w:szCs w:val="21"/>
                <w:lang w:eastAsia="zh-CN"/>
              </w:rPr>
            </w:pPr>
            <w:r>
              <w:rPr>
                <w:rFonts w:hint="eastAsia" w:asciiTheme="majorEastAsia" w:hAnsiTheme="majorEastAsia" w:eastAsiaTheme="majorEastAsia" w:cstheme="majorEastAsia"/>
                <w:spacing w:val="6"/>
                <w:sz w:val="21"/>
                <w:szCs w:val="21"/>
              </w:rPr>
              <w:t>《国务院关于印发清理规范投资项目报建审批事项实施方案的通知》(国发(2016)29号)第二条第(二)项：将‘占用、挖掘城市道路审批’、‘依附于城市道路建设各种管线、杆线等设施审批’、‘城市桥梁上架设各类市政管线审批’3项合并为‘市政设施建设类审批’1项”</w:t>
            </w:r>
            <w:r>
              <w:rPr>
                <w:rFonts w:hint="eastAsia" w:asciiTheme="majorEastAsia" w:hAnsiTheme="majorEastAsia" w:eastAsiaTheme="majorEastAsia" w:cstheme="majorEastAsia"/>
                <w:spacing w:val="6"/>
                <w:sz w:val="21"/>
                <w:szCs w:val="21"/>
                <w:lang w:eastAsia="zh-CN"/>
              </w:rPr>
              <w:t>。</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具有相应资质的</w:t>
            </w:r>
            <w:r>
              <w:rPr>
                <w:rFonts w:hint="eastAsia" w:asciiTheme="majorEastAsia" w:hAnsiTheme="majorEastAsia" w:eastAsiaTheme="majorEastAsia" w:cstheme="majorEastAsia"/>
                <w:spacing w:val="6"/>
                <w:sz w:val="21"/>
                <w:szCs w:val="21"/>
                <w:lang w:val="en-US" w:eastAsia="zh-CN"/>
              </w:rPr>
              <w:t>编制</w:t>
            </w:r>
            <w:r>
              <w:rPr>
                <w:rFonts w:hint="eastAsia" w:asciiTheme="majorEastAsia" w:hAnsiTheme="majorEastAsia" w:eastAsiaTheme="majorEastAsia" w:cstheme="majorEastAsia"/>
                <w:spacing w:val="6"/>
                <w:sz w:val="21"/>
                <w:szCs w:val="21"/>
              </w:rPr>
              <w:t>机构</w:t>
            </w:r>
          </w:p>
        </w:tc>
        <w:tc>
          <w:tcPr>
            <w:tcW w:w="96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双方协商</w:t>
            </w:r>
          </w:p>
        </w:tc>
        <w:tc>
          <w:tcPr>
            <w:tcW w:w="14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1" w:hRule="atLeast"/>
        </w:trPr>
        <w:tc>
          <w:tcPr>
            <w:tcW w:w="50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lang w:val="en-US" w:eastAsia="zh-CN"/>
              </w:rPr>
            </w:pPr>
            <w:r>
              <w:rPr>
                <w:rFonts w:hint="eastAsia" w:asciiTheme="majorEastAsia" w:hAnsiTheme="majorEastAsia" w:eastAsiaTheme="majorEastAsia" w:cstheme="majorEastAsia"/>
                <w:spacing w:val="6"/>
                <w:sz w:val="21"/>
                <w:szCs w:val="21"/>
                <w:lang w:val="en-US" w:eastAsia="zh-CN"/>
              </w:rPr>
              <w:t>26</w:t>
            </w:r>
          </w:p>
        </w:tc>
        <w:tc>
          <w:tcPr>
            <w:tcW w:w="83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lang w:eastAsia="zh-CN"/>
              </w:rPr>
              <w:t>县城管局</w:t>
            </w:r>
          </w:p>
        </w:tc>
        <w:tc>
          <w:tcPr>
            <w:tcW w:w="163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lang w:eastAsia="zh-CN"/>
              </w:rPr>
            </w:pPr>
            <w:r>
              <w:rPr>
                <w:rFonts w:hint="eastAsia" w:asciiTheme="majorEastAsia" w:hAnsiTheme="majorEastAsia" w:eastAsiaTheme="majorEastAsia" w:cstheme="majorEastAsia"/>
                <w:spacing w:val="6"/>
                <w:sz w:val="21"/>
                <w:szCs w:val="21"/>
                <w:lang w:eastAsia="zh-CN"/>
              </w:rPr>
              <w:t>燃气经营</w:t>
            </w:r>
          </w:p>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lang w:eastAsia="zh-CN"/>
              </w:rPr>
              <w:t>许可证核发</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lang w:eastAsia="zh-CN"/>
              </w:rPr>
              <w:t>燃气经营安全评价</w:t>
            </w:r>
          </w:p>
        </w:tc>
        <w:tc>
          <w:tcPr>
            <w:tcW w:w="748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left"/>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城镇燃气管理条例》（2010年11月19日国务院令第583号）第十五条：国家对燃气经营实行许可证制度。从事燃气经营活动的企业，应当具备下列条件：……符合前款规定条件的，由县级以上地方人民政府燃气管理部门核发燃气经营许可证</w:t>
            </w:r>
            <w:r>
              <w:rPr>
                <w:rFonts w:hint="eastAsia" w:asciiTheme="majorEastAsia" w:hAnsiTheme="majorEastAsia" w:eastAsiaTheme="majorEastAsia" w:cstheme="majorEastAsia"/>
                <w:spacing w:val="6"/>
                <w:sz w:val="21"/>
                <w:szCs w:val="21"/>
                <w:lang w:eastAsia="zh-CN"/>
              </w:rPr>
              <w:t>。</w:t>
            </w:r>
            <w:r>
              <w:rPr>
                <w:rFonts w:hint="eastAsia" w:asciiTheme="majorEastAsia" w:hAnsiTheme="majorEastAsia" w:eastAsiaTheme="majorEastAsia" w:cstheme="majorEastAsia"/>
                <w:spacing w:val="6"/>
                <w:sz w:val="21"/>
                <w:szCs w:val="21"/>
              </w:rPr>
              <w:t>……</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lang w:eastAsia="zh-CN"/>
              </w:rPr>
              <w:t>具有资质的安全评价机构</w:t>
            </w:r>
          </w:p>
        </w:tc>
        <w:tc>
          <w:tcPr>
            <w:tcW w:w="96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lang w:eastAsia="zh-CN"/>
              </w:rPr>
              <w:t>双方协商</w:t>
            </w:r>
          </w:p>
        </w:tc>
        <w:tc>
          <w:tcPr>
            <w:tcW w:w="14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lang w:eastAsia="zh-CN"/>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251" w:hRule="atLeast"/>
        </w:trPr>
        <w:tc>
          <w:tcPr>
            <w:tcW w:w="50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lang w:val="en-US" w:eastAsia="zh-CN"/>
              </w:rPr>
            </w:pPr>
            <w:r>
              <w:rPr>
                <w:rFonts w:hint="eastAsia" w:asciiTheme="majorEastAsia" w:hAnsiTheme="majorEastAsia" w:eastAsiaTheme="majorEastAsia" w:cstheme="majorEastAsia"/>
                <w:spacing w:val="6"/>
                <w:sz w:val="21"/>
                <w:szCs w:val="21"/>
                <w:lang w:val="en-US" w:eastAsia="zh-CN"/>
              </w:rPr>
              <w:t>27</w:t>
            </w:r>
          </w:p>
        </w:tc>
        <w:tc>
          <w:tcPr>
            <w:tcW w:w="83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lang w:eastAsia="zh-CN"/>
              </w:rPr>
              <w:t>县城管局</w:t>
            </w:r>
          </w:p>
        </w:tc>
        <w:tc>
          <w:tcPr>
            <w:tcW w:w="163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lang w:eastAsia="zh-CN"/>
              </w:rPr>
            </w:pPr>
            <w:r>
              <w:rPr>
                <w:rFonts w:hint="eastAsia" w:asciiTheme="majorEastAsia" w:hAnsiTheme="majorEastAsia" w:eastAsiaTheme="majorEastAsia" w:cstheme="majorEastAsia"/>
                <w:spacing w:val="6"/>
                <w:sz w:val="21"/>
                <w:szCs w:val="21"/>
                <w:lang w:eastAsia="zh-CN"/>
              </w:rPr>
              <w:t>燃气经营及改动市政燃气设施</w:t>
            </w:r>
          </w:p>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lang w:eastAsia="zh-CN"/>
              </w:rPr>
              <w:t>审批</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lang w:eastAsia="zh-CN"/>
              </w:rPr>
              <w:t>燃气气质检测报告</w:t>
            </w:r>
          </w:p>
        </w:tc>
        <w:tc>
          <w:tcPr>
            <w:tcW w:w="748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left"/>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城镇燃气管理条例》（2010年11月19日国务院令第583号）第三十八条：燃气经营者改动市政燃气设施，应当制定改动方案，报县级以上地方政府燃气管理部门批准。改动方案应当符合燃气发展规划，明确安全施工要求，有安全防护和保障正常用气的措施。</w:t>
            </w:r>
            <w:r>
              <w:rPr>
                <w:rFonts w:hint="eastAsia" w:asciiTheme="majorEastAsia" w:hAnsiTheme="majorEastAsia" w:eastAsiaTheme="majorEastAsia" w:cstheme="majorEastAsia"/>
                <w:spacing w:val="6"/>
                <w:sz w:val="21"/>
                <w:szCs w:val="21"/>
              </w:rPr>
              <w:br w:type="textWrapping"/>
            </w:r>
            <w:r>
              <w:rPr>
                <w:rFonts w:hint="eastAsia" w:asciiTheme="majorEastAsia" w:hAnsiTheme="majorEastAsia" w:eastAsiaTheme="majorEastAsia" w:cstheme="majorEastAsia"/>
                <w:spacing w:val="6"/>
                <w:sz w:val="21"/>
                <w:szCs w:val="21"/>
              </w:rPr>
              <w:t>《国务院关于第六批取消和调整行政审批项目的决定》（国发〔2012〕52号）附件2（一）第21项：燃气经营者改动市政燃气设施审批，下放至设区的市级、县级人民政府燃气管理部门。</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lang w:eastAsia="zh-CN"/>
              </w:rPr>
              <w:t>具有资质的安全评价机构</w:t>
            </w:r>
          </w:p>
        </w:tc>
        <w:tc>
          <w:tcPr>
            <w:tcW w:w="96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lang w:eastAsia="zh-CN"/>
              </w:rPr>
              <w:t>双方协商</w:t>
            </w:r>
          </w:p>
        </w:tc>
        <w:tc>
          <w:tcPr>
            <w:tcW w:w="14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lang w:eastAsia="zh-CN"/>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96" w:hRule="atLeast"/>
        </w:trPr>
        <w:tc>
          <w:tcPr>
            <w:tcW w:w="50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lang w:val="en-US" w:eastAsia="zh-CN"/>
              </w:rPr>
            </w:pPr>
            <w:r>
              <w:rPr>
                <w:rFonts w:hint="eastAsia" w:asciiTheme="majorEastAsia" w:hAnsiTheme="majorEastAsia" w:eastAsiaTheme="majorEastAsia" w:cstheme="majorEastAsia"/>
                <w:spacing w:val="6"/>
                <w:sz w:val="21"/>
                <w:szCs w:val="21"/>
                <w:lang w:val="en-US" w:eastAsia="zh-CN"/>
              </w:rPr>
              <w:t>28</w:t>
            </w:r>
          </w:p>
        </w:tc>
        <w:tc>
          <w:tcPr>
            <w:tcW w:w="83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县税务局</w:t>
            </w:r>
          </w:p>
        </w:tc>
        <w:tc>
          <w:tcPr>
            <w:tcW w:w="163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环境保护税申报</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污染物排放检测报告</w:t>
            </w:r>
          </w:p>
        </w:tc>
        <w:tc>
          <w:tcPr>
            <w:tcW w:w="748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left"/>
              <w:textAlignment w:val="auto"/>
              <w:rPr>
                <w:rFonts w:hint="eastAsia" w:asciiTheme="majorEastAsia" w:hAnsiTheme="majorEastAsia" w:eastAsiaTheme="majorEastAsia" w:cstheme="majorEastAsia"/>
                <w:spacing w:val="6"/>
                <w:sz w:val="21"/>
                <w:szCs w:val="21"/>
                <w:lang w:eastAsia="zh-CN"/>
              </w:rPr>
            </w:pPr>
            <w:r>
              <w:rPr>
                <w:rFonts w:hint="eastAsia" w:asciiTheme="majorEastAsia" w:hAnsiTheme="majorEastAsia" w:eastAsiaTheme="majorEastAsia" w:cstheme="majorEastAsia"/>
                <w:spacing w:val="6"/>
                <w:sz w:val="21"/>
                <w:szCs w:val="21"/>
              </w:rPr>
              <w:t>《中华人民共和国环境保护税法》(中华人民共和国主席令第61号)第十条第(二)项规定：纳税人未安装使用污染物自动监测设备的，按照监测机构出具的符合国家有关规定和监测规范的监测数据计算</w:t>
            </w:r>
            <w:r>
              <w:rPr>
                <w:rFonts w:hint="eastAsia" w:asciiTheme="majorEastAsia" w:hAnsiTheme="majorEastAsia" w:eastAsiaTheme="majorEastAsia" w:cstheme="majorEastAsia"/>
                <w:spacing w:val="6"/>
                <w:sz w:val="21"/>
                <w:szCs w:val="21"/>
                <w:lang w:eastAsia="zh-CN"/>
              </w:rPr>
              <w:t>。</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取得相应资质的监测机构均可办理</w:t>
            </w:r>
          </w:p>
        </w:tc>
        <w:tc>
          <w:tcPr>
            <w:tcW w:w="96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双方协商</w:t>
            </w:r>
          </w:p>
        </w:tc>
        <w:tc>
          <w:tcPr>
            <w:tcW w:w="14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6" w:hRule="atLeast"/>
        </w:trPr>
        <w:tc>
          <w:tcPr>
            <w:tcW w:w="50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lang w:val="en-US" w:eastAsia="zh-CN"/>
              </w:rPr>
            </w:pPr>
            <w:r>
              <w:rPr>
                <w:rFonts w:hint="eastAsia" w:asciiTheme="majorEastAsia" w:hAnsiTheme="majorEastAsia" w:eastAsiaTheme="majorEastAsia" w:cstheme="majorEastAsia"/>
                <w:spacing w:val="6"/>
                <w:sz w:val="21"/>
                <w:szCs w:val="21"/>
                <w:lang w:val="en-US" w:eastAsia="zh-CN"/>
              </w:rPr>
              <w:t>29</w:t>
            </w:r>
          </w:p>
        </w:tc>
        <w:tc>
          <w:tcPr>
            <w:tcW w:w="83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县税务局</w:t>
            </w:r>
          </w:p>
        </w:tc>
        <w:tc>
          <w:tcPr>
            <w:tcW w:w="163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契税申报</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不动产评估价格</w:t>
            </w:r>
          </w:p>
        </w:tc>
        <w:tc>
          <w:tcPr>
            <w:tcW w:w="748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left"/>
              <w:textAlignment w:val="auto"/>
              <w:rPr>
                <w:rFonts w:hint="eastAsia" w:asciiTheme="majorEastAsia" w:hAnsiTheme="majorEastAsia" w:eastAsiaTheme="majorEastAsia" w:cstheme="majorEastAsia"/>
                <w:spacing w:val="6"/>
                <w:sz w:val="21"/>
                <w:szCs w:val="21"/>
                <w:lang w:eastAsia="zh-CN"/>
              </w:rPr>
            </w:pPr>
            <w:r>
              <w:rPr>
                <w:rFonts w:hint="eastAsia" w:asciiTheme="majorEastAsia" w:hAnsiTheme="majorEastAsia" w:eastAsiaTheme="majorEastAsia" w:cstheme="majorEastAsia"/>
                <w:spacing w:val="6"/>
                <w:sz w:val="21"/>
                <w:szCs w:val="21"/>
              </w:rPr>
              <w:t>《财政部国家税务总局关于国有土地使用权出让等有关契税问题的通知》(财税(2004)134号)规定：没有成交价格或者成交价格明显偏低的，征收机关可依次按下列两种方式确定：1.评估价格：由政府批准设立的房地产评估机构根据相同地段、同类房地产进行综合评定，并经当地税务机关确认的价格。《国家税务总局国家土地管理局关于契税征收管理有关问题的通知》国税发〔1998〕31号规定：四、土地管理部门在土地证书的定期查验时，可联合契税征收机关对契税完税情况进行检查。对检查中发现的逃避纳税和不办理土地变更登记手续的，应责令其完税和办理土地变更登记手续，并依照有关规定进行处理。对于需要按评估价格计征契税的，应当委托具备土地评估资格的评估机构进行有关的评估，以规范房地产市场交易行为，确保国家税收不受损失</w:t>
            </w:r>
            <w:r>
              <w:rPr>
                <w:rFonts w:hint="eastAsia" w:asciiTheme="majorEastAsia" w:hAnsiTheme="majorEastAsia" w:eastAsiaTheme="majorEastAsia" w:cstheme="majorEastAsia"/>
                <w:spacing w:val="6"/>
                <w:sz w:val="21"/>
                <w:szCs w:val="21"/>
                <w:lang w:eastAsia="zh-CN"/>
              </w:rPr>
              <w:t>。</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取得相应资质的监测机构均可办理</w:t>
            </w:r>
          </w:p>
        </w:tc>
        <w:tc>
          <w:tcPr>
            <w:tcW w:w="96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双方协商</w:t>
            </w:r>
          </w:p>
        </w:tc>
        <w:tc>
          <w:tcPr>
            <w:tcW w:w="14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40" w:hRule="atLeast"/>
        </w:trPr>
        <w:tc>
          <w:tcPr>
            <w:tcW w:w="50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lang w:val="en-US" w:eastAsia="zh-CN"/>
              </w:rPr>
            </w:pPr>
            <w:r>
              <w:rPr>
                <w:rFonts w:hint="eastAsia" w:asciiTheme="majorEastAsia" w:hAnsiTheme="majorEastAsia" w:eastAsiaTheme="majorEastAsia" w:cstheme="majorEastAsia"/>
                <w:spacing w:val="6"/>
                <w:sz w:val="21"/>
                <w:szCs w:val="21"/>
                <w:lang w:val="en-US" w:eastAsia="zh-CN"/>
              </w:rPr>
              <w:t>30</w:t>
            </w:r>
          </w:p>
        </w:tc>
        <w:tc>
          <w:tcPr>
            <w:tcW w:w="83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县税务局</w:t>
            </w:r>
          </w:p>
        </w:tc>
        <w:tc>
          <w:tcPr>
            <w:tcW w:w="163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其他情况土</w:t>
            </w:r>
          </w:p>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地增值税申</w:t>
            </w:r>
          </w:p>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报</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房地产评估价格</w:t>
            </w:r>
          </w:p>
        </w:tc>
        <w:tc>
          <w:tcPr>
            <w:tcW w:w="748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left"/>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中华人民共和国土地增值税暂行条例(国务院令第138号)第六条规定：计算增值额的扣除项目：(三)新建房及配套设施的成本、费用，或者旧房及建筑物的评估价格；中华人民共和国土地增值税暂行条</w:t>
            </w:r>
          </w:p>
          <w:p>
            <w:pPr>
              <w:keepNext w:val="0"/>
              <w:keepLines w:val="0"/>
              <w:pageBreakBefore w:val="0"/>
              <w:widowControl w:val="0"/>
              <w:kinsoku/>
              <w:wordWrap/>
              <w:overflowPunct/>
              <w:topLinePunct w:val="0"/>
              <w:autoSpaceDE/>
              <w:autoSpaceDN/>
              <w:bidi w:val="0"/>
              <w:adjustRightInd/>
              <w:snapToGrid/>
              <w:spacing w:line="300" w:lineRule="exact"/>
              <w:ind w:left="0" w:firstLine="0"/>
              <w:jc w:val="left"/>
              <w:textAlignment w:val="auto"/>
              <w:rPr>
                <w:rFonts w:hint="eastAsia" w:asciiTheme="majorEastAsia" w:hAnsiTheme="majorEastAsia" w:eastAsiaTheme="majorEastAsia" w:cstheme="majorEastAsia"/>
                <w:spacing w:val="6"/>
                <w:sz w:val="21"/>
                <w:szCs w:val="21"/>
                <w:lang w:eastAsia="zh-CN"/>
              </w:rPr>
            </w:pPr>
            <w:r>
              <w:rPr>
                <w:rFonts w:hint="eastAsia" w:asciiTheme="majorEastAsia" w:hAnsiTheme="majorEastAsia" w:eastAsiaTheme="majorEastAsia" w:cstheme="majorEastAsia"/>
                <w:spacing w:val="6"/>
                <w:sz w:val="21"/>
                <w:szCs w:val="21"/>
              </w:rPr>
              <w:t>例实施细则(财法字(1995)6号)第十三条规定：第九条所称的房地产评估价格，是指由政府批准设立的房地产评估机构根据相同地段、同类房地产进行综合评定的价格。评估价格须经当地税务机关确认</w:t>
            </w:r>
            <w:r>
              <w:rPr>
                <w:rFonts w:hint="eastAsia" w:asciiTheme="majorEastAsia" w:hAnsiTheme="majorEastAsia" w:eastAsiaTheme="majorEastAsia" w:cstheme="majorEastAsia"/>
                <w:spacing w:val="6"/>
                <w:sz w:val="21"/>
                <w:szCs w:val="21"/>
                <w:lang w:eastAsia="zh-CN"/>
              </w:rPr>
              <w:t>。</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取得相应资质的监测机构均可办理</w:t>
            </w:r>
          </w:p>
        </w:tc>
        <w:tc>
          <w:tcPr>
            <w:tcW w:w="96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双方协商</w:t>
            </w:r>
          </w:p>
        </w:tc>
        <w:tc>
          <w:tcPr>
            <w:tcW w:w="14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45" w:hRule="atLeast"/>
        </w:trPr>
        <w:tc>
          <w:tcPr>
            <w:tcW w:w="50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lang w:val="en-US" w:eastAsia="zh-CN"/>
              </w:rPr>
            </w:pPr>
            <w:r>
              <w:rPr>
                <w:rFonts w:hint="eastAsia" w:asciiTheme="majorEastAsia" w:hAnsiTheme="majorEastAsia" w:eastAsiaTheme="majorEastAsia" w:cstheme="majorEastAsia"/>
                <w:spacing w:val="6"/>
                <w:sz w:val="21"/>
                <w:szCs w:val="21"/>
                <w:lang w:val="en-US" w:eastAsia="zh-CN"/>
              </w:rPr>
              <w:t>31</w:t>
            </w:r>
          </w:p>
        </w:tc>
        <w:tc>
          <w:tcPr>
            <w:tcW w:w="83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lang w:val="en-US" w:eastAsia="zh-CN"/>
              </w:rPr>
              <w:t>县税务局</w:t>
            </w:r>
          </w:p>
        </w:tc>
        <w:tc>
          <w:tcPr>
            <w:tcW w:w="163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lang w:val="en-US" w:eastAsia="zh-CN"/>
              </w:rPr>
            </w:pPr>
            <w:r>
              <w:rPr>
                <w:rFonts w:hint="eastAsia" w:asciiTheme="majorEastAsia" w:hAnsiTheme="majorEastAsia" w:eastAsiaTheme="majorEastAsia" w:cstheme="majorEastAsia"/>
                <w:spacing w:val="6"/>
                <w:sz w:val="21"/>
                <w:szCs w:val="21"/>
                <w:lang w:val="en-US" w:eastAsia="zh-CN"/>
              </w:rPr>
              <w:t>股权转让</w:t>
            </w:r>
          </w:p>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lang w:val="en-US" w:eastAsia="zh-CN"/>
              </w:rPr>
              <w:t>申报</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lang w:val="en-US" w:eastAsia="zh-CN"/>
              </w:rPr>
              <w:t>资产评估价格</w:t>
            </w:r>
          </w:p>
        </w:tc>
        <w:tc>
          <w:tcPr>
            <w:tcW w:w="748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left"/>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lang w:val="en-US" w:eastAsia="zh-CN"/>
              </w:rPr>
              <w:t>资产评估基本准则第九条规定：第九条资产评估机构受理资产评估业务前，应当明确下列资产评估业务基本事项：</w:t>
            </w:r>
            <w:r>
              <w:rPr>
                <w:rFonts w:hint="eastAsia" w:asciiTheme="majorEastAsia" w:hAnsiTheme="majorEastAsia" w:eastAsiaTheme="majorEastAsia" w:cstheme="majorEastAsia"/>
                <w:spacing w:val="6"/>
                <w:sz w:val="21"/>
                <w:szCs w:val="21"/>
                <w:lang w:val="en-US" w:eastAsia="zh-CN"/>
              </w:rPr>
              <w:br w:type="textWrapping"/>
            </w:r>
            <w:r>
              <w:rPr>
                <w:rFonts w:hint="eastAsia" w:asciiTheme="majorEastAsia" w:hAnsiTheme="majorEastAsia" w:eastAsiaTheme="majorEastAsia" w:cstheme="majorEastAsia"/>
                <w:spacing w:val="6"/>
                <w:sz w:val="21"/>
                <w:szCs w:val="21"/>
                <w:lang w:val="en-US" w:eastAsia="zh-CN"/>
              </w:rPr>
              <w:t>（一）委托人、产权持有人和委托人以外的其他资产评估报告使用人；</w:t>
            </w:r>
            <w:r>
              <w:rPr>
                <w:rFonts w:hint="eastAsia" w:asciiTheme="majorEastAsia" w:hAnsiTheme="majorEastAsia" w:eastAsiaTheme="majorEastAsia" w:cstheme="majorEastAsia"/>
                <w:spacing w:val="6"/>
                <w:sz w:val="21"/>
                <w:szCs w:val="21"/>
                <w:lang w:val="en-US" w:eastAsia="zh-CN"/>
              </w:rPr>
              <w:br w:type="textWrapping"/>
            </w:r>
            <w:r>
              <w:rPr>
                <w:rFonts w:hint="eastAsia" w:asciiTheme="majorEastAsia" w:hAnsiTheme="majorEastAsia" w:eastAsiaTheme="majorEastAsia" w:cstheme="majorEastAsia"/>
                <w:spacing w:val="6"/>
                <w:sz w:val="21"/>
                <w:szCs w:val="21"/>
                <w:lang w:val="en-US" w:eastAsia="zh-CN"/>
              </w:rPr>
              <w:t>（二）评估目的；</w:t>
            </w:r>
            <w:r>
              <w:rPr>
                <w:rFonts w:hint="eastAsia" w:asciiTheme="majorEastAsia" w:hAnsiTheme="majorEastAsia" w:eastAsiaTheme="majorEastAsia" w:cstheme="majorEastAsia"/>
                <w:spacing w:val="6"/>
                <w:sz w:val="21"/>
                <w:szCs w:val="21"/>
                <w:lang w:val="en-US" w:eastAsia="zh-CN"/>
              </w:rPr>
              <w:br w:type="textWrapping"/>
            </w:r>
            <w:r>
              <w:rPr>
                <w:rFonts w:hint="eastAsia" w:asciiTheme="majorEastAsia" w:hAnsiTheme="majorEastAsia" w:eastAsiaTheme="majorEastAsia" w:cstheme="majorEastAsia"/>
                <w:spacing w:val="6"/>
                <w:sz w:val="21"/>
                <w:szCs w:val="21"/>
                <w:lang w:val="en-US" w:eastAsia="zh-CN"/>
              </w:rPr>
              <w:t>（三）评估对象和评估范围；</w:t>
            </w:r>
            <w:r>
              <w:rPr>
                <w:rFonts w:hint="eastAsia" w:asciiTheme="majorEastAsia" w:hAnsiTheme="majorEastAsia" w:eastAsiaTheme="majorEastAsia" w:cstheme="majorEastAsia"/>
                <w:spacing w:val="6"/>
                <w:sz w:val="21"/>
                <w:szCs w:val="21"/>
                <w:lang w:val="en-US" w:eastAsia="zh-CN"/>
              </w:rPr>
              <w:br w:type="textWrapping"/>
            </w:r>
            <w:r>
              <w:rPr>
                <w:rFonts w:hint="eastAsia" w:asciiTheme="majorEastAsia" w:hAnsiTheme="majorEastAsia" w:eastAsiaTheme="majorEastAsia" w:cstheme="majorEastAsia"/>
                <w:spacing w:val="6"/>
                <w:sz w:val="21"/>
                <w:szCs w:val="21"/>
                <w:lang w:val="en-US" w:eastAsia="zh-CN"/>
              </w:rPr>
              <w:t>（四）价值类型；</w:t>
            </w:r>
            <w:r>
              <w:rPr>
                <w:rFonts w:hint="eastAsia" w:asciiTheme="majorEastAsia" w:hAnsiTheme="majorEastAsia" w:eastAsiaTheme="majorEastAsia" w:cstheme="majorEastAsia"/>
                <w:spacing w:val="6"/>
                <w:sz w:val="21"/>
                <w:szCs w:val="21"/>
                <w:lang w:val="en-US" w:eastAsia="zh-CN"/>
              </w:rPr>
              <w:br w:type="textWrapping"/>
            </w:r>
            <w:r>
              <w:rPr>
                <w:rFonts w:hint="eastAsia" w:asciiTheme="majorEastAsia" w:hAnsiTheme="majorEastAsia" w:eastAsiaTheme="majorEastAsia" w:cstheme="majorEastAsia"/>
                <w:spacing w:val="6"/>
                <w:sz w:val="21"/>
                <w:szCs w:val="21"/>
                <w:lang w:val="en-US" w:eastAsia="zh-CN"/>
              </w:rPr>
              <w:t>（五）评估基准日；</w:t>
            </w:r>
            <w:r>
              <w:rPr>
                <w:rFonts w:hint="eastAsia" w:asciiTheme="majorEastAsia" w:hAnsiTheme="majorEastAsia" w:eastAsiaTheme="majorEastAsia" w:cstheme="majorEastAsia"/>
                <w:spacing w:val="6"/>
                <w:sz w:val="21"/>
                <w:szCs w:val="21"/>
                <w:lang w:val="en-US" w:eastAsia="zh-CN"/>
              </w:rPr>
              <w:br w:type="textWrapping"/>
            </w:r>
            <w:r>
              <w:rPr>
                <w:rFonts w:hint="eastAsia" w:asciiTheme="majorEastAsia" w:hAnsiTheme="majorEastAsia" w:eastAsiaTheme="majorEastAsia" w:cstheme="majorEastAsia"/>
                <w:spacing w:val="6"/>
                <w:sz w:val="21"/>
                <w:szCs w:val="21"/>
                <w:lang w:val="en-US" w:eastAsia="zh-CN"/>
              </w:rPr>
              <w:t>（六）资产评估报告使用范围；</w:t>
            </w:r>
            <w:r>
              <w:rPr>
                <w:rFonts w:hint="eastAsia" w:asciiTheme="majorEastAsia" w:hAnsiTheme="majorEastAsia" w:eastAsiaTheme="majorEastAsia" w:cstheme="majorEastAsia"/>
                <w:spacing w:val="6"/>
                <w:sz w:val="21"/>
                <w:szCs w:val="21"/>
                <w:lang w:val="en-US" w:eastAsia="zh-CN"/>
              </w:rPr>
              <w:br w:type="textWrapping"/>
            </w:r>
            <w:r>
              <w:rPr>
                <w:rFonts w:hint="eastAsia" w:asciiTheme="majorEastAsia" w:hAnsiTheme="majorEastAsia" w:eastAsiaTheme="majorEastAsia" w:cstheme="majorEastAsia"/>
                <w:spacing w:val="6"/>
                <w:sz w:val="21"/>
                <w:szCs w:val="21"/>
                <w:lang w:val="en-US" w:eastAsia="zh-CN"/>
              </w:rPr>
              <w:t>（七）资产评估报告提交期限及方式；</w:t>
            </w:r>
            <w:r>
              <w:rPr>
                <w:rFonts w:hint="eastAsia" w:asciiTheme="majorEastAsia" w:hAnsiTheme="majorEastAsia" w:eastAsiaTheme="majorEastAsia" w:cstheme="majorEastAsia"/>
                <w:spacing w:val="6"/>
                <w:sz w:val="21"/>
                <w:szCs w:val="21"/>
                <w:lang w:val="en-US" w:eastAsia="zh-CN"/>
              </w:rPr>
              <w:br w:type="textWrapping"/>
            </w:r>
            <w:r>
              <w:rPr>
                <w:rFonts w:hint="eastAsia" w:asciiTheme="majorEastAsia" w:hAnsiTheme="majorEastAsia" w:eastAsiaTheme="majorEastAsia" w:cstheme="majorEastAsia"/>
                <w:spacing w:val="6"/>
                <w:sz w:val="21"/>
                <w:szCs w:val="21"/>
                <w:lang w:val="en-US" w:eastAsia="zh-CN"/>
              </w:rPr>
              <w:t>（八）评估服务费及支付方式；</w:t>
            </w:r>
            <w:r>
              <w:rPr>
                <w:rFonts w:hint="eastAsia" w:asciiTheme="majorEastAsia" w:hAnsiTheme="majorEastAsia" w:eastAsiaTheme="majorEastAsia" w:cstheme="majorEastAsia"/>
                <w:spacing w:val="6"/>
                <w:sz w:val="21"/>
                <w:szCs w:val="21"/>
                <w:lang w:val="en-US" w:eastAsia="zh-CN"/>
              </w:rPr>
              <w:br w:type="textWrapping"/>
            </w:r>
            <w:r>
              <w:rPr>
                <w:rFonts w:hint="eastAsia" w:asciiTheme="majorEastAsia" w:hAnsiTheme="majorEastAsia" w:eastAsiaTheme="majorEastAsia" w:cstheme="majorEastAsia"/>
                <w:spacing w:val="6"/>
                <w:sz w:val="21"/>
                <w:szCs w:val="21"/>
                <w:lang w:val="en-US" w:eastAsia="zh-CN"/>
              </w:rPr>
              <w:t>（九）委托人、其他相关当事人与资产评估机构及其资产评估专业人员工作配合和协助等需要明确的重要事项。</w:t>
            </w:r>
            <w:r>
              <w:rPr>
                <w:rFonts w:hint="eastAsia" w:asciiTheme="majorEastAsia" w:hAnsiTheme="majorEastAsia" w:eastAsiaTheme="majorEastAsia" w:cstheme="majorEastAsia"/>
                <w:spacing w:val="6"/>
                <w:sz w:val="21"/>
                <w:szCs w:val="21"/>
                <w:lang w:val="en-US" w:eastAsia="zh-CN"/>
              </w:rPr>
              <w:br w:type="textWrapping"/>
            </w:r>
            <w:r>
              <w:rPr>
                <w:rFonts w:hint="eastAsia" w:asciiTheme="majorEastAsia" w:hAnsiTheme="majorEastAsia" w:eastAsiaTheme="majorEastAsia" w:cstheme="majorEastAsia"/>
                <w:spacing w:val="6"/>
                <w:sz w:val="21"/>
                <w:szCs w:val="21"/>
                <w:lang w:val="en-US" w:eastAsia="zh-CN"/>
              </w:rPr>
              <w:t>资产评估机构应当对专业能力、独立性和业务风险进行综合分析和评价。受理资产评估业务应当满足专业能力、独立性和业务风险控制要求，否则不得受理。</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lang w:val="en-US" w:eastAsia="zh-CN"/>
              </w:rPr>
              <w:t>取得相应资质的监测机构均可办理</w:t>
            </w:r>
          </w:p>
        </w:tc>
        <w:tc>
          <w:tcPr>
            <w:tcW w:w="96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lang w:val="en-US" w:eastAsia="zh-CN"/>
              </w:rPr>
              <w:t>双方协商</w:t>
            </w:r>
          </w:p>
        </w:tc>
        <w:tc>
          <w:tcPr>
            <w:tcW w:w="14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lang w:val="en-US" w:eastAsia="zh-CN"/>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225" w:hRule="atLeast"/>
        </w:trPr>
        <w:tc>
          <w:tcPr>
            <w:tcW w:w="50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lang w:val="en-US" w:eastAsia="zh-CN"/>
              </w:rPr>
            </w:pPr>
            <w:r>
              <w:rPr>
                <w:rFonts w:hint="eastAsia" w:asciiTheme="majorEastAsia" w:hAnsiTheme="majorEastAsia" w:eastAsiaTheme="majorEastAsia" w:cstheme="majorEastAsia"/>
                <w:spacing w:val="6"/>
                <w:sz w:val="21"/>
                <w:szCs w:val="21"/>
                <w:lang w:val="en-US" w:eastAsia="zh-CN"/>
              </w:rPr>
              <w:t>32</w:t>
            </w:r>
          </w:p>
        </w:tc>
        <w:tc>
          <w:tcPr>
            <w:tcW w:w="83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县财政局</w:t>
            </w:r>
          </w:p>
        </w:tc>
        <w:tc>
          <w:tcPr>
            <w:tcW w:w="163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非盈利组织</w:t>
            </w:r>
          </w:p>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免税资格认</w:t>
            </w:r>
          </w:p>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定</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所需材料其中要求提供具有资质的中介机构鉴定的上一年度财务报表</w:t>
            </w:r>
          </w:p>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和审计报告</w:t>
            </w:r>
          </w:p>
        </w:tc>
        <w:tc>
          <w:tcPr>
            <w:tcW w:w="748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left"/>
              <w:textAlignment w:val="auto"/>
              <w:rPr>
                <w:rFonts w:hint="eastAsia" w:asciiTheme="majorEastAsia" w:hAnsiTheme="majorEastAsia" w:eastAsiaTheme="majorEastAsia" w:cstheme="majorEastAsia"/>
                <w:spacing w:val="6"/>
                <w:sz w:val="21"/>
                <w:szCs w:val="21"/>
                <w:lang w:eastAsia="zh-CN"/>
              </w:rPr>
            </w:pPr>
            <w:r>
              <w:rPr>
                <w:rFonts w:hint="eastAsia" w:asciiTheme="majorEastAsia" w:hAnsiTheme="majorEastAsia" w:eastAsiaTheme="majorEastAsia" w:cstheme="majorEastAsia"/>
                <w:spacing w:val="6"/>
                <w:sz w:val="21"/>
                <w:szCs w:val="21"/>
              </w:rPr>
              <w:t>根据河南省财政厅、河南省税务局《关于转发&lt;财政部税务总局关于非营利组织免税资格认定管理有关问题的通知&gt;的通知》(豫财税政[2018]29号)文件，财政部、税务总局《财政部税务总局关于非盈利组织免税资格认定管理有关问题的通知》(财税[2018]13号)文件要求，所需7份材料(1.非营利组织工资薪金情况专项报告；2.非营利组织免税资格认定申请报告；3.非营利组织注册登记证书；4.审计报告；5.非营利组织资金明细情况；6.非营利组织事业发展情况；7.组织章程</w:t>
            </w:r>
            <w:r>
              <w:rPr>
                <w:rFonts w:hint="eastAsia" w:asciiTheme="majorEastAsia" w:hAnsiTheme="majorEastAsia" w:eastAsiaTheme="majorEastAsia" w:cstheme="majorEastAsia"/>
                <w:spacing w:val="6"/>
                <w:sz w:val="21"/>
                <w:szCs w:val="21"/>
                <w:lang w:eastAsia="zh-CN"/>
              </w:rPr>
              <w:t>。</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具有资质的中介机构提供</w:t>
            </w:r>
          </w:p>
        </w:tc>
        <w:tc>
          <w:tcPr>
            <w:tcW w:w="96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双方协商</w:t>
            </w:r>
          </w:p>
        </w:tc>
        <w:tc>
          <w:tcPr>
            <w:tcW w:w="14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依据国家规定</w:t>
            </w:r>
          </w:p>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的对会计师事</w:t>
            </w:r>
          </w:p>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务所的收费标准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9" w:hRule="atLeast"/>
        </w:trPr>
        <w:tc>
          <w:tcPr>
            <w:tcW w:w="50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lang w:val="en-US" w:eastAsia="zh-CN"/>
              </w:rPr>
            </w:pPr>
            <w:r>
              <w:rPr>
                <w:rFonts w:hint="eastAsia" w:asciiTheme="majorEastAsia" w:hAnsiTheme="majorEastAsia" w:eastAsiaTheme="majorEastAsia" w:cstheme="majorEastAsia"/>
                <w:spacing w:val="6"/>
                <w:sz w:val="21"/>
                <w:szCs w:val="21"/>
                <w:lang w:val="en-US" w:eastAsia="zh-CN"/>
              </w:rPr>
              <w:t>33</w:t>
            </w:r>
          </w:p>
        </w:tc>
        <w:tc>
          <w:tcPr>
            <w:tcW w:w="83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县住建局</w:t>
            </w:r>
          </w:p>
        </w:tc>
        <w:tc>
          <w:tcPr>
            <w:tcW w:w="163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城镇污水排</w:t>
            </w:r>
          </w:p>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入排水管网</w:t>
            </w:r>
          </w:p>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许可</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编制排水水质、水量检测报告</w:t>
            </w:r>
          </w:p>
        </w:tc>
        <w:tc>
          <w:tcPr>
            <w:tcW w:w="748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left"/>
              <w:textAlignment w:val="auto"/>
              <w:rPr>
                <w:rFonts w:hint="eastAsia" w:asciiTheme="majorEastAsia" w:hAnsiTheme="majorEastAsia" w:eastAsiaTheme="majorEastAsia" w:cstheme="majorEastAsia"/>
                <w:spacing w:val="6"/>
                <w:sz w:val="21"/>
                <w:szCs w:val="21"/>
                <w:lang w:eastAsia="zh-CN"/>
              </w:rPr>
            </w:pPr>
            <w:r>
              <w:rPr>
                <w:rFonts w:hint="eastAsia" w:asciiTheme="majorEastAsia" w:hAnsiTheme="majorEastAsia" w:eastAsiaTheme="majorEastAsia" w:cstheme="majorEastAsia"/>
                <w:spacing w:val="6"/>
                <w:sz w:val="21"/>
                <w:szCs w:val="21"/>
              </w:rPr>
              <w:t>《城镇污水排入排水管网许可管理办法》(住建部令第21号)第七条第五款：排水许可申请受理之日前一个月内由具有计量认证资质的水质检测机构出具的排水水质、水量检测报告；拟排放污水的排水户提交水质、水量预测报告</w:t>
            </w:r>
            <w:r>
              <w:rPr>
                <w:rFonts w:hint="eastAsia" w:asciiTheme="majorEastAsia" w:hAnsiTheme="majorEastAsia" w:eastAsiaTheme="majorEastAsia" w:cstheme="majorEastAsia"/>
                <w:spacing w:val="6"/>
                <w:sz w:val="21"/>
                <w:szCs w:val="21"/>
                <w:lang w:eastAsia="zh-CN"/>
              </w:rPr>
              <w:t>。</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具有计量认证资质的水质检测机构</w:t>
            </w:r>
          </w:p>
        </w:tc>
        <w:tc>
          <w:tcPr>
            <w:tcW w:w="96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双方协商</w:t>
            </w:r>
          </w:p>
        </w:tc>
        <w:tc>
          <w:tcPr>
            <w:tcW w:w="14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25" w:hRule="atLeast"/>
        </w:trPr>
        <w:tc>
          <w:tcPr>
            <w:tcW w:w="50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lang w:val="en-US" w:eastAsia="zh-CN"/>
              </w:rPr>
            </w:pPr>
            <w:r>
              <w:rPr>
                <w:rFonts w:hint="eastAsia" w:asciiTheme="majorEastAsia" w:hAnsiTheme="majorEastAsia" w:eastAsiaTheme="majorEastAsia" w:cstheme="majorEastAsia"/>
                <w:spacing w:val="6"/>
                <w:sz w:val="21"/>
                <w:szCs w:val="21"/>
                <w:lang w:val="en-US" w:eastAsia="zh-CN"/>
              </w:rPr>
              <w:t>34</w:t>
            </w:r>
          </w:p>
        </w:tc>
        <w:tc>
          <w:tcPr>
            <w:tcW w:w="83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县住建局</w:t>
            </w:r>
          </w:p>
        </w:tc>
        <w:tc>
          <w:tcPr>
            <w:tcW w:w="163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建筑工程施</w:t>
            </w:r>
          </w:p>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工许可证核</w:t>
            </w:r>
          </w:p>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发</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建设工程施工图设计文件审查</w:t>
            </w:r>
          </w:p>
        </w:tc>
        <w:tc>
          <w:tcPr>
            <w:tcW w:w="748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left"/>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《建筑法》第八条申请领取施工许可证，应当具备下列条件：(五)有满足施工需要的施工图纸及技术资料；</w:t>
            </w:r>
          </w:p>
          <w:p>
            <w:pPr>
              <w:keepNext w:val="0"/>
              <w:keepLines w:val="0"/>
              <w:pageBreakBefore w:val="0"/>
              <w:widowControl w:val="0"/>
              <w:kinsoku/>
              <w:wordWrap/>
              <w:overflowPunct/>
              <w:topLinePunct w:val="0"/>
              <w:autoSpaceDE/>
              <w:autoSpaceDN/>
              <w:bidi w:val="0"/>
              <w:adjustRightInd/>
              <w:snapToGrid/>
              <w:spacing w:line="300" w:lineRule="exact"/>
              <w:ind w:left="0" w:firstLine="0"/>
              <w:jc w:val="left"/>
              <w:textAlignment w:val="auto"/>
              <w:rPr>
                <w:rFonts w:hint="eastAsia" w:asciiTheme="majorEastAsia" w:hAnsiTheme="majorEastAsia" w:eastAsiaTheme="majorEastAsia" w:cstheme="majorEastAsia"/>
                <w:spacing w:val="6"/>
                <w:sz w:val="21"/>
                <w:szCs w:val="21"/>
                <w:lang w:eastAsia="zh-CN"/>
              </w:rPr>
            </w:pPr>
            <w:r>
              <w:rPr>
                <w:rFonts w:hint="eastAsia" w:asciiTheme="majorEastAsia" w:hAnsiTheme="majorEastAsia" w:eastAsiaTheme="majorEastAsia" w:cstheme="majorEastAsia"/>
                <w:spacing w:val="6"/>
                <w:sz w:val="21"/>
                <w:szCs w:val="21"/>
              </w:rPr>
              <w:t>房屋建筑和市政基础设施工程施工图设计文件审查管理办法第十二条施工图审查原则上不超过下列时限：(一)大型房屋建筑工程、市政基础设施工程为15个工作日，中型及以下房屋建筑工程、市政基础设施工程为10个工作日。(二)工程勘察文件，甲级项目为7个工作日，乙级及以下项目为5个工作日。以上时限不包括施工图修改时间和审查机构的复审时间</w:t>
            </w:r>
            <w:r>
              <w:rPr>
                <w:rFonts w:hint="eastAsia" w:asciiTheme="majorEastAsia" w:hAnsiTheme="majorEastAsia" w:eastAsiaTheme="majorEastAsia" w:cstheme="majorEastAsia"/>
                <w:spacing w:val="6"/>
                <w:sz w:val="21"/>
                <w:szCs w:val="21"/>
                <w:lang w:eastAsia="zh-CN"/>
              </w:rPr>
              <w:t>。</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具有资质的施工图审查机构</w:t>
            </w:r>
          </w:p>
        </w:tc>
        <w:tc>
          <w:tcPr>
            <w:tcW w:w="96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双方协商</w:t>
            </w:r>
          </w:p>
        </w:tc>
        <w:tc>
          <w:tcPr>
            <w:tcW w:w="14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5" w:hRule="atLeast"/>
        </w:trPr>
        <w:tc>
          <w:tcPr>
            <w:tcW w:w="50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lang w:val="en-US" w:eastAsia="zh-CN"/>
              </w:rPr>
            </w:pPr>
            <w:r>
              <w:rPr>
                <w:rFonts w:hint="eastAsia" w:asciiTheme="majorEastAsia" w:hAnsiTheme="majorEastAsia" w:eastAsiaTheme="majorEastAsia" w:cstheme="majorEastAsia"/>
                <w:spacing w:val="6"/>
                <w:sz w:val="21"/>
                <w:szCs w:val="21"/>
                <w:lang w:val="en-US" w:eastAsia="zh-CN"/>
              </w:rPr>
              <w:t>35</w:t>
            </w:r>
          </w:p>
        </w:tc>
        <w:tc>
          <w:tcPr>
            <w:tcW w:w="83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县住建局</w:t>
            </w:r>
          </w:p>
        </w:tc>
        <w:tc>
          <w:tcPr>
            <w:tcW w:w="163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建筑起重机械使用登记</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建筑起重机械检验</w:t>
            </w:r>
          </w:p>
        </w:tc>
        <w:tc>
          <w:tcPr>
            <w:tcW w:w="748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left"/>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建筑起重机械安全监督管理规定》(建设部令第166号)第十六条：建筑起重机械安装完毕后，使用单位应当组织出租、安装、监理等有关单位进行验收，或者委托具有相应资质的检验检测机构进行验收。建筑起重机械经验收合格后方可投入使用，未经验收或者验收不合格的不得使用。建筑起重机械在验收前应当经有相应资质的检验检测机构监督检验合格。</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具有特种设备检验检测相应资质的机构</w:t>
            </w:r>
          </w:p>
        </w:tc>
        <w:tc>
          <w:tcPr>
            <w:tcW w:w="96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双方协商</w:t>
            </w:r>
          </w:p>
        </w:tc>
        <w:tc>
          <w:tcPr>
            <w:tcW w:w="14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5" w:hRule="atLeast"/>
        </w:trPr>
        <w:tc>
          <w:tcPr>
            <w:tcW w:w="50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lang w:val="en-US" w:eastAsia="zh-CN"/>
              </w:rPr>
            </w:pPr>
            <w:r>
              <w:rPr>
                <w:rFonts w:hint="eastAsia" w:asciiTheme="majorEastAsia" w:hAnsiTheme="majorEastAsia" w:eastAsiaTheme="majorEastAsia" w:cstheme="majorEastAsia"/>
                <w:spacing w:val="6"/>
                <w:sz w:val="21"/>
                <w:szCs w:val="21"/>
                <w:lang w:val="en-US" w:eastAsia="zh-CN"/>
              </w:rPr>
              <w:t>36</w:t>
            </w:r>
          </w:p>
        </w:tc>
        <w:tc>
          <w:tcPr>
            <w:tcW w:w="83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县住建局</w:t>
            </w:r>
          </w:p>
        </w:tc>
        <w:tc>
          <w:tcPr>
            <w:tcW w:w="163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建设工程竣工验收备案</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建筑材料和工程质量检测</w:t>
            </w:r>
          </w:p>
        </w:tc>
        <w:tc>
          <w:tcPr>
            <w:tcW w:w="748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left"/>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1.《建设工程质量管理条例》(中华人民共和国国务院令第279号)第四十九条：建设单位应当自建设工程竣工验收合格之日起15日内，将建设工程竣工验收报告和规划、公安消防、环保等部门出具的认可文件或者准许使用文件报建设行政主管部门或者其他有关部门备案。</w:t>
            </w:r>
          </w:p>
          <w:p>
            <w:pPr>
              <w:keepNext w:val="0"/>
              <w:keepLines w:val="0"/>
              <w:pageBreakBefore w:val="0"/>
              <w:widowControl w:val="0"/>
              <w:kinsoku/>
              <w:wordWrap/>
              <w:overflowPunct/>
              <w:topLinePunct w:val="0"/>
              <w:autoSpaceDE/>
              <w:autoSpaceDN/>
              <w:bidi w:val="0"/>
              <w:adjustRightInd/>
              <w:snapToGrid/>
              <w:spacing w:line="300" w:lineRule="exact"/>
              <w:ind w:left="0" w:firstLine="0"/>
              <w:jc w:val="left"/>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2.《建设工程质量检测管理办法》(中华人民共和国建设部令第141号)第十二条：本办法规定的质量检测业务，由工程项目建设单位委托具有相应资质的检测机构进行检测。委托方与被委托方应当签订书面合同。第三十四条：检测机构和委托方应当按照有关规定收取、支付检测费用。没有收费标准的项目由双方协商收取费用。</w:t>
            </w:r>
          </w:p>
          <w:p>
            <w:pPr>
              <w:keepNext w:val="0"/>
              <w:keepLines w:val="0"/>
              <w:pageBreakBefore w:val="0"/>
              <w:widowControl w:val="0"/>
              <w:kinsoku/>
              <w:wordWrap/>
              <w:overflowPunct/>
              <w:topLinePunct w:val="0"/>
              <w:autoSpaceDE/>
              <w:autoSpaceDN/>
              <w:bidi w:val="0"/>
              <w:adjustRightInd/>
              <w:snapToGrid/>
              <w:spacing w:line="300" w:lineRule="exact"/>
              <w:ind w:left="0" w:firstLine="0"/>
              <w:jc w:val="left"/>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3.《房屋建筑和市政基础设施工程竣工验收备案管理办法》(中华人民共和国建设部令第2号)第五条：建设单位办理工程竣工验收备案应当提交下列文件：(一)工程竣工验收备案表；(二)工程竣工验收报告。竣工验收报告应当包括工程报建日期，施工许可证号，施工图设计文件审查意见，勘察、设计、施工、工程监理等单位分别签署的质量合格文件及验收人员签署的竣工验收原始文件，市政基础设施的有关质量检测和功能性试验资料以及备案机关认为需要提供的有关资料；(三)法律、行政法规规定应当由规划、环保等部门出具的认可文件或者准许使用文件；(四)法律规定应当由公安消防部门出具的对大型的人员密集场所和其他特殊建设工程验收合格的证明文件；(五)施工单位签署的工程质量保修书；(六)法规、规章规定必须提供的其他文件。住宅工程还应当提交《住宅质量保证书》和《住宅使用说明书》</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具有相应建筑工程质量检测资质的机构</w:t>
            </w:r>
          </w:p>
        </w:tc>
        <w:tc>
          <w:tcPr>
            <w:tcW w:w="96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双方协商</w:t>
            </w:r>
          </w:p>
        </w:tc>
        <w:tc>
          <w:tcPr>
            <w:tcW w:w="14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3" w:hRule="atLeast"/>
        </w:trPr>
        <w:tc>
          <w:tcPr>
            <w:tcW w:w="50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lang w:val="en-US" w:eastAsia="zh-CN"/>
              </w:rPr>
            </w:pPr>
            <w:r>
              <w:rPr>
                <w:rFonts w:hint="eastAsia" w:asciiTheme="majorEastAsia" w:hAnsiTheme="majorEastAsia" w:eastAsiaTheme="majorEastAsia" w:cstheme="majorEastAsia"/>
                <w:spacing w:val="6"/>
                <w:sz w:val="21"/>
                <w:szCs w:val="21"/>
                <w:lang w:val="en-US" w:eastAsia="zh-CN"/>
              </w:rPr>
              <w:t>37</w:t>
            </w:r>
          </w:p>
        </w:tc>
        <w:tc>
          <w:tcPr>
            <w:tcW w:w="83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县住建局</w:t>
            </w:r>
          </w:p>
        </w:tc>
        <w:tc>
          <w:tcPr>
            <w:tcW w:w="163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建设工程消防验收</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建筑消防设施检测</w:t>
            </w:r>
          </w:p>
        </w:tc>
        <w:tc>
          <w:tcPr>
            <w:tcW w:w="748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left"/>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关于做好当前建设工程消防设计审查验收有关工作的通知》(建标函(2019)1303号)三(一)建设单位申请消防验收，应当提交下列材料：1.建设工程消防验收申请表；2.有关消防设施的工程竣工图纸；3.消防产品质量合格证明文件；4.具有防火性能要求的建筑构件、建筑材料、装修材料符合国家标准或者行业标准的证明文件、出厂合格证；5.消防字眼合格意见；6.法律、行政法规规定的其他材料</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具有建筑消防设施检测资质的机构</w:t>
            </w:r>
          </w:p>
        </w:tc>
        <w:tc>
          <w:tcPr>
            <w:tcW w:w="96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双方协商</w:t>
            </w:r>
          </w:p>
        </w:tc>
        <w:tc>
          <w:tcPr>
            <w:tcW w:w="14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6" w:hRule="atLeast"/>
        </w:trPr>
        <w:tc>
          <w:tcPr>
            <w:tcW w:w="50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lang w:val="en-US" w:eastAsia="zh-CN"/>
              </w:rPr>
            </w:pPr>
            <w:r>
              <w:rPr>
                <w:rFonts w:hint="eastAsia" w:asciiTheme="majorEastAsia" w:hAnsiTheme="majorEastAsia" w:eastAsiaTheme="majorEastAsia" w:cstheme="majorEastAsia"/>
                <w:spacing w:val="6"/>
                <w:sz w:val="21"/>
                <w:szCs w:val="21"/>
                <w:lang w:val="en-US" w:eastAsia="zh-CN"/>
              </w:rPr>
              <w:t>38</w:t>
            </w:r>
          </w:p>
        </w:tc>
        <w:tc>
          <w:tcPr>
            <w:tcW w:w="83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县住建局</w:t>
            </w:r>
          </w:p>
        </w:tc>
        <w:tc>
          <w:tcPr>
            <w:tcW w:w="163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建设工程消</w:t>
            </w:r>
          </w:p>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防设计备案、建设工程竣工消防备案，消防设计审核、竣工验收备案抽查</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建设工程消防</w:t>
            </w:r>
          </w:p>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设计文件编制、出具建设工程施工图审查意见书</w:t>
            </w:r>
          </w:p>
        </w:tc>
        <w:tc>
          <w:tcPr>
            <w:tcW w:w="748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left"/>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1、《中华人民共和国消防法》第十四条：建设工程消防设计审查、消防验收、备案和抽查的具体办法，由国务院住房和城乡建设主管部门规定。</w:t>
            </w:r>
          </w:p>
          <w:p>
            <w:pPr>
              <w:keepNext w:val="0"/>
              <w:keepLines w:val="0"/>
              <w:pageBreakBefore w:val="0"/>
              <w:widowControl w:val="0"/>
              <w:kinsoku/>
              <w:wordWrap/>
              <w:overflowPunct/>
              <w:topLinePunct w:val="0"/>
              <w:autoSpaceDE/>
              <w:autoSpaceDN/>
              <w:bidi w:val="0"/>
              <w:adjustRightInd/>
              <w:snapToGrid/>
              <w:spacing w:line="300" w:lineRule="exact"/>
              <w:ind w:left="0" w:firstLine="0"/>
              <w:jc w:val="left"/>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2、《中华人民共和国消防法》第五十六条：住房和城乡建设主管部门、消防救援机构及其工作人员应当按照法定的职权和程序进行消防设计审查、消防验收、备案抽查和消防安全检查，做到公正、严格、文明、高效。</w:t>
            </w:r>
          </w:p>
          <w:p>
            <w:pPr>
              <w:keepNext w:val="0"/>
              <w:keepLines w:val="0"/>
              <w:pageBreakBefore w:val="0"/>
              <w:widowControl w:val="0"/>
              <w:kinsoku/>
              <w:wordWrap/>
              <w:overflowPunct/>
              <w:topLinePunct w:val="0"/>
              <w:autoSpaceDE/>
              <w:autoSpaceDN/>
              <w:bidi w:val="0"/>
              <w:adjustRightInd/>
              <w:snapToGrid/>
              <w:spacing w:line="300" w:lineRule="exact"/>
              <w:ind w:left="0" w:firstLine="0"/>
              <w:jc w:val="left"/>
              <w:textAlignment w:val="auto"/>
              <w:rPr>
                <w:rFonts w:hint="eastAsia" w:asciiTheme="majorEastAsia" w:hAnsiTheme="majorEastAsia" w:eastAsiaTheme="majorEastAsia" w:cstheme="majorEastAsia"/>
                <w:spacing w:val="6"/>
                <w:sz w:val="21"/>
                <w:szCs w:val="21"/>
                <w:lang w:eastAsia="zh-CN"/>
              </w:rPr>
            </w:pPr>
            <w:r>
              <w:rPr>
                <w:rFonts w:hint="eastAsia" w:asciiTheme="majorEastAsia" w:hAnsiTheme="majorEastAsia" w:eastAsiaTheme="majorEastAsia" w:cstheme="majorEastAsia"/>
                <w:spacing w:val="6"/>
                <w:sz w:val="21"/>
                <w:szCs w:val="21"/>
              </w:rPr>
              <w:t>住房和城乡建设主管部门、消防救援机构及其工作人员进行消防设计审查、消防验收、备案抽查和消防安全检查等，不得收取费用，不得利用职务谋取利益；不得利用职务为用户、建设单位指定或者变相指定消防产品的品牌、销售单位或者消防技术服务机构、消防设施施工单位</w:t>
            </w:r>
            <w:r>
              <w:rPr>
                <w:rFonts w:hint="eastAsia" w:asciiTheme="majorEastAsia" w:hAnsiTheme="majorEastAsia" w:eastAsiaTheme="majorEastAsia" w:cstheme="majorEastAsia"/>
                <w:spacing w:val="6"/>
                <w:sz w:val="21"/>
                <w:szCs w:val="21"/>
                <w:lang w:eastAsia="zh-CN"/>
              </w:rPr>
              <w:t>。</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具有内装修设计资质或者消防设计资质的机构、具有施工图审查资质的机构</w:t>
            </w:r>
          </w:p>
        </w:tc>
        <w:tc>
          <w:tcPr>
            <w:tcW w:w="96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双方协商</w:t>
            </w:r>
          </w:p>
        </w:tc>
        <w:tc>
          <w:tcPr>
            <w:tcW w:w="14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4" w:hRule="atLeast"/>
        </w:trPr>
        <w:tc>
          <w:tcPr>
            <w:tcW w:w="50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lang w:val="en-US" w:eastAsia="zh-CN"/>
              </w:rPr>
            </w:pPr>
            <w:r>
              <w:rPr>
                <w:rFonts w:hint="eastAsia" w:asciiTheme="majorEastAsia" w:hAnsiTheme="majorEastAsia" w:eastAsiaTheme="majorEastAsia" w:cstheme="majorEastAsia"/>
                <w:spacing w:val="6"/>
                <w:sz w:val="21"/>
                <w:szCs w:val="21"/>
                <w:lang w:val="en-US" w:eastAsia="zh-CN"/>
              </w:rPr>
              <w:t>39</w:t>
            </w:r>
          </w:p>
        </w:tc>
        <w:tc>
          <w:tcPr>
            <w:tcW w:w="83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县住建局</w:t>
            </w:r>
          </w:p>
        </w:tc>
        <w:tc>
          <w:tcPr>
            <w:tcW w:w="163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工程竣工验收备案</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新建、改建、扩建建(构)筑物防雷装置检测</w:t>
            </w:r>
          </w:p>
        </w:tc>
        <w:tc>
          <w:tcPr>
            <w:tcW w:w="748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left"/>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1.《中华人民共和国气象法》第三十一条：各级气象主管机构应当加强对雷电灾害防御工作的组织管理，并会同有关部门指导对可能遭受雷击的建筑物、构筑物和其他设施安装的雷电灾害防护装置的检测工作。安装的雷电灾害防护装置应当符合国务院气象主管机构规定的使用要求。</w:t>
            </w:r>
          </w:p>
          <w:p>
            <w:pPr>
              <w:keepNext w:val="0"/>
              <w:keepLines w:val="0"/>
              <w:pageBreakBefore w:val="0"/>
              <w:widowControl w:val="0"/>
              <w:kinsoku/>
              <w:wordWrap/>
              <w:overflowPunct/>
              <w:topLinePunct w:val="0"/>
              <w:autoSpaceDE/>
              <w:autoSpaceDN/>
              <w:bidi w:val="0"/>
              <w:adjustRightInd/>
              <w:snapToGrid/>
              <w:spacing w:line="300" w:lineRule="exact"/>
              <w:ind w:left="0" w:firstLine="0"/>
              <w:jc w:val="left"/>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2.《气象灾害防御条例》(国务院令第570号)第二十三条：各类建(构)筑物、场所和设施安装雷电防护装置应当符合国家有关防雷标准的规定。对新建、改建、扩建建(构)筑物设计文件进行审查，应当就雷电防护装置的设计征求气象主管机构的意见；对新建、改建、扩建建(构)筑物进行竣工验收，应当同时验收雷电防护装置并有气象主管机构参加。雷电易发区内的矿区、旅游景点或者投入使用的建(构)筑物、设施需要单独安装雷电防护装置的，雷电防护装置的设计审核和竣工验收由县级以上地方气象主管机构负责。</w:t>
            </w:r>
          </w:p>
          <w:p>
            <w:pPr>
              <w:keepNext w:val="0"/>
              <w:keepLines w:val="0"/>
              <w:pageBreakBefore w:val="0"/>
              <w:widowControl w:val="0"/>
              <w:kinsoku/>
              <w:wordWrap/>
              <w:overflowPunct/>
              <w:topLinePunct w:val="0"/>
              <w:autoSpaceDE/>
              <w:autoSpaceDN/>
              <w:bidi w:val="0"/>
              <w:adjustRightInd/>
              <w:snapToGrid/>
              <w:spacing w:line="300" w:lineRule="exact"/>
              <w:ind w:left="0" w:firstLine="0"/>
              <w:jc w:val="left"/>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3.《防雷装置设计审核和竣工验收规定》(中国气象局令第21号)第二条：县级以上地方气象主管机构负责本行政区域内防雷装置的设计审核和竣工验收工作。未设气象主管机构的县(市),由上一级气象主管机构负责防雷装置的设计审核和竣工验收工作。</w:t>
            </w:r>
          </w:p>
          <w:p>
            <w:pPr>
              <w:keepNext w:val="0"/>
              <w:keepLines w:val="0"/>
              <w:pageBreakBefore w:val="0"/>
              <w:widowControl w:val="0"/>
              <w:kinsoku/>
              <w:wordWrap/>
              <w:overflowPunct/>
              <w:topLinePunct w:val="0"/>
              <w:autoSpaceDE/>
              <w:autoSpaceDN/>
              <w:bidi w:val="0"/>
              <w:adjustRightInd/>
              <w:snapToGrid/>
              <w:spacing w:line="300" w:lineRule="exact"/>
              <w:ind w:left="0" w:firstLine="0"/>
              <w:jc w:val="left"/>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4.《国务院关于优化建设工程防雷许可的决定》(国发(2016)39号)一、整合部分建设工程防雷许可。(一)将气象部门承担的房屋建筑工程和市政基础设施工程防雷装置设计审核、竣工验收许可，整合纳入建筑工程施工图审查、竣工验收备案，统一由住房城乡建设部门监管，切实优化流程、缩短时限、提高效率。</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雷电防护装置检测资质分甲级、乙级资质</w:t>
            </w:r>
          </w:p>
        </w:tc>
        <w:tc>
          <w:tcPr>
            <w:tcW w:w="96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双方协商</w:t>
            </w:r>
          </w:p>
        </w:tc>
        <w:tc>
          <w:tcPr>
            <w:tcW w:w="14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10" w:hRule="atLeast"/>
        </w:trPr>
        <w:tc>
          <w:tcPr>
            <w:tcW w:w="505"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firstLine="0"/>
              <w:jc w:val="center"/>
              <w:textAlignment w:val="auto"/>
              <w:rPr>
                <w:rFonts w:hint="eastAsia" w:asciiTheme="majorEastAsia" w:hAnsiTheme="majorEastAsia" w:eastAsiaTheme="majorEastAsia" w:cstheme="majorEastAsia"/>
                <w:spacing w:val="6"/>
                <w:sz w:val="21"/>
                <w:szCs w:val="21"/>
                <w:lang w:val="en-US" w:eastAsia="zh-CN"/>
              </w:rPr>
            </w:pPr>
            <w:r>
              <w:rPr>
                <w:rFonts w:hint="eastAsia" w:asciiTheme="majorEastAsia" w:hAnsiTheme="majorEastAsia" w:eastAsiaTheme="majorEastAsia" w:cstheme="majorEastAsia"/>
                <w:spacing w:val="6"/>
                <w:sz w:val="21"/>
                <w:szCs w:val="21"/>
                <w:lang w:val="en-US" w:eastAsia="zh-CN"/>
              </w:rPr>
              <w:t>40</w:t>
            </w:r>
          </w:p>
        </w:tc>
        <w:tc>
          <w:tcPr>
            <w:tcW w:w="835"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县自然资源局</w:t>
            </w:r>
          </w:p>
        </w:tc>
        <w:tc>
          <w:tcPr>
            <w:tcW w:w="1631"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建设用地审</w:t>
            </w:r>
          </w:p>
          <w:p>
            <w:pPr>
              <w:keepNext w:val="0"/>
              <w:keepLines w:val="0"/>
              <w:pageBreakBefore w:val="0"/>
              <w:widowControl w:val="0"/>
              <w:kinsoku/>
              <w:wordWrap/>
              <w:overflowPunct/>
              <w:topLinePunct w:val="0"/>
              <w:autoSpaceDE/>
              <w:autoSpaceDN/>
              <w:bidi w:val="0"/>
              <w:adjustRightInd/>
              <w:snapToGrid/>
              <w:spacing w:line="28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批(土地使用权划拨、出让审核，临时用地审批)</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土地勘测定界报告书及勘测定界图</w:t>
            </w:r>
          </w:p>
        </w:tc>
        <w:tc>
          <w:tcPr>
            <w:tcW w:w="748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firstLine="0"/>
              <w:jc w:val="left"/>
              <w:textAlignment w:val="auto"/>
              <w:rPr>
                <w:rFonts w:hint="eastAsia" w:asciiTheme="majorEastAsia" w:hAnsiTheme="majorEastAsia" w:eastAsiaTheme="majorEastAsia" w:cstheme="majorEastAsia"/>
                <w:spacing w:val="6"/>
                <w:sz w:val="21"/>
                <w:szCs w:val="21"/>
                <w:lang w:eastAsia="zh-CN"/>
              </w:rPr>
            </w:pPr>
            <w:r>
              <w:rPr>
                <w:rFonts w:hint="eastAsia" w:asciiTheme="majorEastAsia" w:hAnsiTheme="majorEastAsia" w:eastAsiaTheme="majorEastAsia" w:cstheme="majorEastAsia"/>
                <w:spacing w:val="6"/>
                <w:sz w:val="21"/>
                <w:szCs w:val="21"/>
              </w:rPr>
              <w:t>《中华人民共和国物权法》第十一条当事人申请登记，应该根据不同登记事项提供权属证明和不动产界址、面积等必要材料。第一百四十条建设使用权出让合同一般包括下列条款：(一)当事人的名称和住所；(二)土地界址、面积</w:t>
            </w:r>
            <w:r>
              <w:rPr>
                <w:rFonts w:hint="eastAsia" w:asciiTheme="majorEastAsia" w:hAnsiTheme="majorEastAsia" w:eastAsiaTheme="majorEastAsia" w:cstheme="majorEastAsia"/>
                <w:spacing w:val="6"/>
                <w:sz w:val="21"/>
                <w:szCs w:val="21"/>
                <w:lang w:eastAsia="zh-CN"/>
              </w:rPr>
              <w:t>。</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有资质的</w:t>
            </w:r>
          </w:p>
          <w:p>
            <w:pPr>
              <w:keepNext w:val="0"/>
              <w:keepLines w:val="0"/>
              <w:pageBreakBefore w:val="0"/>
              <w:widowControl w:val="0"/>
              <w:kinsoku/>
              <w:wordWrap/>
              <w:overflowPunct/>
              <w:topLinePunct w:val="0"/>
              <w:autoSpaceDE/>
              <w:autoSpaceDN/>
              <w:bidi w:val="0"/>
              <w:adjustRightInd/>
              <w:snapToGrid/>
              <w:spacing w:line="28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测量机构</w:t>
            </w:r>
          </w:p>
        </w:tc>
        <w:tc>
          <w:tcPr>
            <w:tcW w:w="96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双方协商</w:t>
            </w:r>
          </w:p>
        </w:tc>
        <w:tc>
          <w:tcPr>
            <w:tcW w:w="14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15" w:hRule="atLeast"/>
        </w:trPr>
        <w:tc>
          <w:tcPr>
            <w:tcW w:w="505"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firstLine="0"/>
              <w:jc w:val="center"/>
              <w:textAlignment w:val="auto"/>
              <w:rPr>
                <w:rFonts w:hint="eastAsia" w:asciiTheme="majorEastAsia" w:hAnsiTheme="majorEastAsia" w:eastAsiaTheme="majorEastAsia" w:cstheme="majorEastAsia"/>
                <w:spacing w:val="6"/>
                <w:sz w:val="21"/>
                <w:szCs w:val="21"/>
                <w:lang w:val="en-US" w:eastAsia="zh-CN"/>
              </w:rPr>
            </w:pPr>
            <w:r>
              <w:rPr>
                <w:rFonts w:hint="eastAsia" w:asciiTheme="majorEastAsia" w:hAnsiTheme="majorEastAsia" w:eastAsiaTheme="majorEastAsia" w:cstheme="majorEastAsia"/>
                <w:spacing w:val="6"/>
                <w:sz w:val="21"/>
                <w:szCs w:val="21"/>
                <w:lang w:val="en-US" w:eastAsia="zh-CN"/>
              </w:rPr>
              <w:t>41</w:t>
            </w:r>
          </w:p>
        </w:tc>
        <w:tc>
          <w:tcPr>
            <w:tcW w:w="835"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县自然资源局</w:t>
            </w:r>
          </w:p>
        </w:tc>
        <w:tc>
          <w:tcPr>
            <w:tcW w:w="1631"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设项目用地预审</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土地勘测定界技术报告书</w:t>
            </w:r>
          </w:p>
        </w:tc>
        <w:tc>
          <w:tcPr>
            <w:tcW w:w="748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firstLine="0"/>
              <w:jc w:val="left"/>
              <w:textAlignment w:val="auto"/>
              <w:rPr>
                <w:rFonts w:hint="eastAsia" w:asciiTheme="majorEastAsia" w:hAnsiTheme="majorEastAsia" w:eastAsiaTheme="majorEastAsia" w:cstheme="majorEastAsia"/>
                <w:spacing w:val="6"/>
                <w:sz w:val="21"/>
                <w:szCs w:val="21"/>
                <w:lang w:eastAsia="zh-CN"/>
              </w:rPr>
            </w:pPr>
            <w:r>
              <w:rPr>
                <w:rFonts w:hint="eastAsia" w:asciiTheme="majorEastAsia" w:hAnsiTheme="majorEastAsia" w:eastAsiaTheme="majorEastAsia" w:cstheme="majorEastAsia"/>
                <w:spacing w:val="6"/>
                <w:sz w:val="21"/>
                <w:szCs w:val="21"/>
              </w:rPr>
              <w:t>中华人民共和国国土资源部68号令《建设项目用地预审管理办法》第七条申请用地预审的项目建设单位，应当提交下列材料：(一)建设项目用地预审申请表；(二)建设项目用地预审申请报告，内容包括拟建项目的基本情况、拟选址占地情况、拟用地是否符合土地利用总体规划、拟用地面积是否符合土地使用标准、拟用地是否符合供地政策等；(三)审批项目建议书的建设项目提供项目建议书批复文件，直接审批可行性研究报告或者需核准的建设项目提供建设项目列入相关规划或者产业政策的文件。前款规定的用地预审申请表样式由国土资源部制定</w:t>
            </w:r>
            <w:r>
              <w:rPr>
                <w:rFonts w:hint="eastAsia" w:asciiTheme="majorEastAsia" w:hAnsiTheme="majorEastAsia" w:eastAsiaTheme="majorEastAsia" w:cstheme="majorEastAsia"/>
                <w:spacing w:val="6"/>
                <w:sz w:val="21"/>
                <w:szCs w:val="21"/>
                <w:lang w:eastAsia="zh-CN"/>
              </w:rPr>
              <w:t>。</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有资质的</w:t>
            </w:r>
          </w:p>
          <w:p>
            <w:pPr>
              <w:keepNext w:val="0"/>
              <w:keepLines w:val="0"/>
              <w:pageBreakBefore w:val="0"/>
              <w:widowControl w:val="0"/>
              <w:kinsoku/>
              <w:wordWrap/>
              <w:overflowPunct/>
              <w:topLinePunct w:val="0"/>
              <w:autoSpaceDE/>
              <w:autoSpaceDN/>
              <w:bidi w:val="0"/>
              <w:adjustRightInd/>
              <w:snapToGrid/>
              <w:spacing w:line="28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测量机构</w:t>
            </w:r>
          </w:p>
        </w:tc>
        <w:tc>
          <w:tcPr>
            <w:tcW w:w="96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双方协商</w:t>
            </w:r>
          </w:p>
        </w:tc>
        <w:tc>
          <w:tcPr>
            <w:tcW w:w="14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10" w:hRule="atLeast"/>
        </w:trPr>
        <w:tc>
          <w:tcPr>
            <w:tcW w:w="505"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firstLine="0"/>
              <w:jc w:val="center"/>
              <w:textAlignment w:val="auto"/>
              <w:rPr>
                <w:rFonts w:hint="eastAsia" w:asciiTheme="majorEastAsia" w:hAnsiTheme="majorEastAsia" w:eastAsiaTheme="majorEastAsia" w:cstheme="majorEastAsia"/>
                <w:spacing w:val="6"/>
                <w:sz w:val="21"/>
                <w:szCs w:val="21"/>
                <w:lang w:val="en-US" w:eastAsia="zh-CN"/>
              </w:rPr>
            </w:pPr>
            <w:r>
              <w:rPr>
                <w:rFonts w:hint="eastAsia" w:asciiTheme="majorEastAsia" w:hAnsiTheme="majorEastAsia" w:eastAsiaTheme="majorEastAsia" w:cstheme="majorEastAsia"/>
                <w:spacing w:val="6"/>
                <w:sz w:val="21"/>
                <w:szCs w:val="21"/>
                <w:lang w:val="en-US" w:eastAsia="zh-CN"/>
              </w:rPr>
              <w:t>42</w:t>
            </w:r>
          </w:p>
        </w:tc>
        <w:tc>
          <w:tcPr>
            <w:tcW w:w="835"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县自然资源局</w:t>
            </w:r>
          </w:p>
        </w:tc>
        <w:tc>
          <w:tcPr>
            <w:tcW w:w="1631"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不动产登记</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出具不动产测绘成果</w:t>
            </w:r>
          </w:p>
        </w:tc>
        <w:tc>
          <w:tcPr>
            <w:tcW w:w="748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firstLine="0"/>
              <w:jc w:val="left"/>
              <w:textAlignment w:val="auto"/>
              <w:rPr>
                <w:rFonts w:hint="eastAsia" w:asciiTheme="majorEastAsia" w:hAnsiTheme="majorEastAsia" w:eastAsiaTheme="majorEastAsia" w:cstheme="majorEastAsia"/>
                <w:spacing w:val="6"/>
                <w:sz w:val="21"/>
                <w:szCs w:val="21"/>
                <w:lang w:eastAsia="zh-CN"/>
              </w:rPr>
            </w:pPr>
            <w:r>
              <w:rPr>
                <w:rFonts w:hint="eastAsia" w:asciiTheme="majorEastAsia" w:hAnsiTheme="majorEastAsia" w:eastAsiaTheme="majorEastAsia" w:cstheme="majorEastAsia"/>
                <w:spacing w:val="6"/>
                <w:sz w:val="21"/>
                <w:szCs w:val="21"/>
              </w:rPr>
              <w:t>《不动产登记暂行条例》(国务院令第656号)第十六条申请人应当提交下列材料，并对申请材料的真实性负责：(一)登记申请书；(二)申请人、代理人身份证明材料、授权委托书；(三)相关的不动产权属来源证明材料、登记原因证明文件、不动产权属证书；(四)不动产界址、空间界限、面积等材料：(五)与他人利害关系的说明材料；(六)法律、行政法规以及本条例实施细则规定的其他材料。不动产登记机构应当在办公场所和门户网站公开申请登记所需材料目录和示范文本等信息</w:t>
            </w:r>
            <w:r>
              <w:rPr>
                <w:rFonts w:hint="eastAsia" w:asciiTheme="majorEastAsia" w:hAnsiTheme="majorEastAsia" w:eastAsiaTheme="majorEastAsia" w:cstheme="majorEastAsia"/>
                <w:spacing w:val="6"/>
                <w:sz w:val="21"/>
                <w:szCs w:val="21"/>
                <w:lang w:eastAsia="zh-CN"/>
              </w:rPr>
              <w:t>。</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有资质的</w:t>
            </w:r>
          </w:p>
          <w:p>
            <w:pPr>
              <w:keepNext w:val="0"/>
              <w:keepLines w:val="0"/>
              <w:pageBreakBefore w:val="0"/>
              <w:widowControl w:val="0"/>
              <w:kinsoku/>
              <w:wordWrap/>
              <w:overflowPunct/>
              <w:topLinePunct w:val="0"/>
              <w:autoSpaceDE/>
              <w:autoSpaceDN/>
              <w:bidi w:val="0"/>
              <w:adjustRightInd/>
              <w:snapToGrid/>
              <w:spacing w:line="28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测量机构</w:t>
            </w:r>
          </w:p>
        </w:tc>
        <w:tc>
          <w:tcPr>
            <w:tcW w:w="96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双方协商</w:t>
            </w:r>
          </w:p>
        </w:tc>
        <w:tc>
          <w:tcPr>
            <w:tcW w:w="14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05"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firstLine="0"/>
              <w:jc w:val="center"/>
              <w:textAlignment w:val="auto"/>
              <w:rPr>
                <w:rFonts w:hint="eastAsia" w:asciiTheme="majorEastAsia" w:hAnsiTheme="majorEastAsia" w:eastAsiaTheme="majorEastAsia" w:cstheme="majorEastAsia"/>
                <w:spacing w:val="6"/>
                <w:sz w:val="21"/>
                <w:szCs w:val="21"/>
                <w:lang w:val="en-US" w:eastAsia="zh-CN"/>
              </w:rPr>
            </w:pPr>
            <w:r>
              <w:rPr>
                <w:rFonts w:hint="eastAsia" w:asciiTheme="majorEastAsia" w:hAnsiTheme="majorEastAsia" w:eastAsiaTheme="majorEastAsia" w:cstheme="majorEastAsia"/>
                <w:spacing w:val="6"/>
                <w:sz w:val="21"/>
                <w:szCs w:val="21"/>
                <w:lang w:val="en-US" w:eastAsia="zh-CN"/>
              </w:rPr>
              <w:t>43</w:t>
            </w:r>
          </w:p>
        </w:tc>
        <w:tc>
          <w:tcPr>
            <w:tcW w:w="835"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县自然资源局</w:t>
            </w:r>
          </w:p>
        </w:tc>
        <w:tc>
          <w:tcPr>
            <w:tcW w:w="1631"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矿山地质环境保护与土地复垦方案</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矿山地质环境</w:t>
            </w:r>
          </w:p>
          <w:p>
            <w:pPr>
              <w:keepNext w:val="0"/>
              <w:keepLines w:val="0"/>
              <w:pageBreakBefore w:val="0"/>
              <w:widowControl w:val="0"/>
              <w:kinsoku/>
              <w:wordWrap/>
              <w:overflowPunct/>
              <w:topLinePunct w:val="0"/>
              <w:autoSpaceDE/>
              <w:autoSpaceDN/>
              <w:bidi w:val="0"/>
              <w:adjustRightInd/>
              <w:snapToGrid/>
              <w:spacing w:line="28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保护与土地复</w:t>
            </w:r>
          </w:p>
          <w:p>
            <w:pPr>
              <w:keepNext w:val="0"/>
              <w:keepLines w:val="0"/>
              <w:pageBreakBefore w:val="0"/>
              <w:widowControl w:val="0"/>
              <w:kinsoku/>
              <w:wordWrap/>
              <w:overflowPunct/>
              <w:topLinePunct w:val="0"/>
              <w:autoSpaceDE/>
              <w:autoSpaceDN/>
              <w:bidi w:val="0"/>
              <w:adjustRightInd/>
              <w:snapToGrid/>
              <w:spacing w:line="28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垦方案</w:t>
            </w:r>
          </w:p>
        </w:tc>
        <w:tc>
          <w:tcPr>
            <w:tcW w:w="748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firstLine="0"/>
              <w:jc w:val="left"/>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中华人民共和国矿产资源法》(1986年3月19日主席令第三十六号，2009年8月27日予以修改》第十五条：设立矿山企业，必须符合国家规定的资质条件，并依照法律和国家有关规定，由审批机关对其矿区范围、矿山设计或者开采方案、生产技术条件、安全措施和环境保护措施等进行审查；审查合格的，方予批准。第二十一条：关闭矿山，必须提出矿山闭坑报告及有关采掘工程、不安全隐患、土地复垦利用、环境保护的资料，并按照国家规定报请审查批准。《矿山地质环境保护规定》(2009年3月2日国土资源部令第44号，2016年1月8日予以修改修订)第十二条：采矿权申请人申请办理采矿许可证时，应当编制矿山地质环境保护与治理恢复方案，报有批准权的国土资源行政主管部门批准。</w:t>
            </w:r>
          </w:p>
          <w:p>
            <w:pPr>
              <w:keepNext w:val="0"/>
              <w:keepLines w:val="0"/>
              <w:pageBreakBefore w:val="0"/>
              <w:widowControl w:val="0"/>
              <w:kinsoku/>
              <w:wordWrap/>
              <w:overflowPunct/>
              <w:topLinePunct w:val="0"/>
              <w:autoSpaceDE/>
              <w:autoSpaceDN/>
              <w:bidi w:val="0"/>
              <w:adjustRightInd/>
              <w:snapToGrid/>
              <w:spacing w:line="280" w:lineRule="exact"/>
              <w:ind w:left="0" w:firstLine="0"/>
              <w:jc w:val="left"/>
              <w:textAlignment w:val="auto"/>
              <w:rPr>
                <w:rFonts w:hint="eastAsia" w:asciiTheme="majorEastAsia" w:hAnsiTheme="majorEastAsia" w:eastAsiaTheme="majorEastAsia" w:cstheme="majorEastAsia"/>
                <w:spacing w:val="6"/>
                <w:sz w:val="21"/>
                <w:szCs w:val="21"/>
                <w:lang w:eastAsia="zh-CN"/>
              </w:rPr>
            </w:pPr>
            <w:r>
              <w:rPr>
                <w:rFonts w:hint="eastAsia" w:asciiTheme="majorEastAsia" w:hAnsiTheme="majorEastAsia" w:eastAsiaTheme="majorEastAsia" w:cstheme="majorEastAsia"/>
                <w:spacing w:val="6"/>
                <w:sz w:val="21"/>
                <w:szCs w:val="21"/>
              </w:rPr>
              <w:t>《国土资源部办公厅关于做好矿山地质环境保护与土地复垦方案编报有关工作的通知》(国土资规(2016)21号):自本通知下发之日起，施行矿山企业矿山地质环境保护与治理恢复方案和土地复垦方案合并编报制度。矿山企业不再单独编制矿山地质环境保护与治理恢复方案、土地复垦方案。合并后的方案以采矿权为单位进行编制，即一个采矿权编制一个方案</w:t>
            </w:r>
            <w:r>
              <w:rPr>
                <w:rFonts w:hint="eastAsia" w:asciiTheme="majorEastAsia" w:hAnsiTheme="majorEastAsia" w:eastAsiaTheme="majorEastAsia" w:cstheme="majorEastAsia"/>
                <w:spacing w:val="6"/>
                <w:sz w:val="21"/>
                <w:szCs w:val="21"/>
                <w:lang w:eastAsia="zh-CN"/>
              </w:rPr>
              <w:t>。</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有资质的</w:t>
            </w:r>
          </w:p>
          <w:p>
            <w:pPr>
              <w:keepNext w:val="0"/>
              <w:keepLines w:val="0"/>
              <w:pageBreakBefore w:val="0"/>
              <w:widowControl w:val="0"/>
              <w:kinsoku/>
              <w:wordWrap/>
              <w:overflowPunct/>
              <w:topLinePunct w:val="0"/>
              <w:autoSpaceDE/>
              <w:autoSpaceDN/>
              <w:bidi w:val="0"/>
              <w:adjustRightInd/>
              <w:snapToGrid/>
              <w:spacing w:line="28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评估机构</w:t>
            </w:r>
          </w:p>
        </w:tc>
        <w:tc>
          <w:tcPr>
            <w:tcW w:w="96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双方协商</w:t>
            </w:r>
          </w:p>
        </w:tc>
        <w:tc>
          <w:tcPr>
            <w:tcW w:w="14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7" w:hRule="atLeast"/>
        </w:trPr>
        <w:tc>
          <w:tcPr>
            <w:tcW w:w="50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lang w:val="en-US" w:eastAsia="zh-CN"/>
              </w:rPr>
            </w:pPr>
            <w:r>
              <w:rPr>
                <w:rFonts w:hint="eastAsia" w:asciiTheme="majorEastAsia" w:hAnsiTheme="majorEastAsia" w:eastAsiaTheme="majorEastAsia" w:cstheme="majorEastAsia"/>
                <w:spacing w:val="6"/>
                <w:sz w:val="21"/>
                <w:szCs w:val="21"/>
                <w:lang w:val="en-US" w:eastAsia="zh-CN"/>
              </w:rPr>
              <w:t>44</w:t>
            </w:r>
          </w:p>
        </w:tc>
        <w:tc>
          <w:tcPr>
            <w:tcW w:w="835"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firstLine="0"/>
              <w:jc w:val="center"/>
              <w:textAlignment w:val="auto"/>
              <w:rPr>
                <w:rFonts w:hint="eastAsia" w:asciiTheme="majorEastAsia" w:hAnsiTheme="majorEastAsia" w:eastAsiaTheme="majorEastAsia" w:cstheme="majorEastAsia"/>
                <w:spacing w:val="6"/>
                <w:sz w:val="21"/>
                <w:szCs w:val="21"/>
                <w:lang w:val="en-US" w:eastAsia="zh-CN"/>
              </w:rPr>
            </w:pPr>
            <w:r>
              <w:rPr>
                <w:rFonts w:hint="eastAsia" w:asciiTheme="majorEastAsia" w:hAnsiTheme="majorEastAsia" w:eastAsiaTheme="majorEastAsia" w:cstheme="majorEastAsia"/>
                <w:spacing w:val="6"/>
                <w:sz w:val="21"/>
                <w:szCs w:val="21"/>
              </w:rPr>
              <w:t>县规划</w:t>
            </w:r>
            <w:r>
              <w:rPr>
                <w:rFonts w:hint="eastAsia" w:asciiTheme="majorEastAsia" w:hAnsiTheme="majorEastAsia" w:eastAsiaTheme="majorEastAsia" w:cstheme="majorEastAsia"/>
                <w:spacing w:val="6"/>
                <w:sz w:val="21"/>
                <w:szCs w:val="21"/>
                <w:lang w:val="en-US" w:eastAsia="zh-CN"/>
              </w:rPr>
              <w:t>中心</w:t>
            </w:r>
          </w:p>
        </w:tc>
        <w:tc>
          <w:tcPr>
            <w:tcW w:w="1631"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建设项目选</w:t>
            </w:r>
          </w:p>
          <w:p>
            <w:pPr>
              <w:keepNext w:val="0"/>
              <w:keepLines w:val="0"/>
              <w:pageBreakBefore w:val="0"/>
              <w:widowControl w:val="0"/>
              <w:kinsoku/>
              <w:wordWrap/>
              <w:overflowPunct/>
              <w:topLinePunct w:val="0"/>
              <w:autoSpaceDE/>
              <w:autoSpaceDN/>
              <w:bidi w:val="0"/>
              <w:adjustRightInd/>
              <w:snapToGrid/>
              <w:spacing w:line="28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址意见书核</w:t>
            </w:r>
          </w:p>
          <w:p>
            <w:pPr>
              <w:keepNext w:val="0"/>
              <w:keepLines w:val="0"/>
              <w:pageBreakBefore w:val="0"/>
              <w:widowControl w:val="0"/>
              <w:kinsoku/>
              <w:wordWrap/>
              <w:overflowPunct/>
              <w:topLinePunct w:val="0"/>
              <w:autoSpaceDE/>
              <w:autoSpaceDN/>
              <w:bidi w:val="0"/>
              <w:adjustRightInd/>
              <w:snapToGrid/>
              <w:spacing w:line="28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发、变更</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拟建项目的相关证明文件和规划选址论证报告申请变更的相关证明文件；变更内容说明及论证情况；变更位置和范围</w:t>
            </w:r>
          </w:p>
        </w:tc>
        <w:tc>
          <w:tcPr>
            <w:tcW w:w="748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firstLine="0"/>
              <w:jc w:val="left"/>
              <w:textAlignment w:val="auto"/>
              <w:rPr>
                <w:rFonts w:hint="eastAsia" w:asciiTheme="majorEastAsia" w:hAnsiTheme="majorEastAsia" w:eastAsiaTheme="majorEastAsia" w:cstheme="majorEastAsia"/>
                <w:spacing w:val="6"/>
                <w:sz w:val="21"/>
                <w:szCs w:val="21"/>
                <w:lang w:eastAsia="zh-CN"/>
              </w:rPr>
            </w:pPr>
            <w:r>
              <w:rPr>
                <w:rFonts w:hint="eastAsia" w:asciiTheme="majorEastAsia" w:hAnsiTheme="majorEastAsia" w:eastAsiaTheme="majorEastAsia" w:cstheme="majorEastAsia"/>
                <w:spacing w:val="6"/>
                <w:sz w:val="21"/>
                <w:szCs w:val="21"/>
              </w:rPr>
              <w:t>《中华人民共和国城乡规划法》(2007年10月28日主席令第七十四号，2015年4月24日予以修改)第三十六条：按照国家规定需要有关部门批准或者核准的建设项目，以划拨方式提供国有土地使用权的，建设单位在报送有关部门批准或者核准前，应当向城乡规划主管部门申请核发选址意见书。前款规定以外的建设项目不需要申请选址意见书</w:t>
            </w:r>
            <w:r>
              <w:rPr>
                <w:rFonts w:hint="eastAsia" w:asciiTheme="majorEastAsia" w:hAnsiTheme="majorEastAsia" w:eastAsiaTheme="majorEastAsia" w:cstheme="majorEastAsia"/>
                <w:spacing w:val="6"/>
                <w:sz w:val="21"/>
                <w:szCs w:val="21"/>
                <w:lang w:eastAsia="zh-CN"/>
              </w:rPr>
              <w:t>。</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具有规划设计资质机构</w:t>
            </w:r>
          </w:p>
        </w:tc>
        <w:tc>
          <w:tcPr>
            <w:tcW w:w="96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双方协商</w:t>
            </w:r>
          </w:p>
        </w:tc>
        <w:tc>
          <w:tcPr>
            <w:tcW w:w="14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76" w:hRule="atLeast"/>
        </w:trPr>
        <w:tc>
          <w:tcPr>
            <w:tcW w:w="50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lang w:val="en-US" w:eastAsia="zh-CN"/>
              </w:rPr>
            </w:pPr>
            <w:r>
              <w:rPr>
                <w:rFonts w:hint="eastAsia" w:asciiTheme="majorEastAsia" w:hAnsiTheme="majorEastAsia" w:eastAsiaTheme="majorEastAsia" w:cstheme="majorEastAsia"/>
                <w:spacing w:val="6"/>
                <w:sz w:val="21"/>
                <w:szCs w:val="21"/>
                <w:lang w:val="en-US" w:eastAsia="zh-CN"/>
              </w:rPr>
              <w:t>45</w:t>
            </w:r>
          </w:p>
        </w:tc>
        <w:tc>
          <w:tcPr>
            <w:tcW w:w="835"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firstLine="0"/>
              <w:jc w:val="center"/>
              <w:textAlignment w:val="auto"/>
              <w:rPr>
                <w:rFonts w:hint="eastAsia" w:asciiTheme="majorEastAsia" w:hAnsiTheme="majorEastAsia" w:eastAsiaTheme="majorEastAsia" w:cstheme="majorEastAsia"/>
                <w:spacing w:val="6"/>
                <w:sz w:val="21"/>
                <w:szCs w:val="21"/>
                <w:lang w:val="en-US" w:eastAsia="zh-CN"/>
              </w:rPr>
            </w:pPr>
            <w:r>
              <w:rPr>
                <w:rFonts w:hint="eastAsia" w:asciiTheme="majorEastAsia" w:hAnsiTheme="majorEastAsia" w:eastAsiaTheme="majorEastAsia" w:cstheme="majorEastAsia"/>
                <w:spacing w:val="6"/>
                <w:sz w:val="21"/>
                <w:szCs w:val="21"/>
              </w:rPr>
              <w:t>县规划</w:t>
            </w:r>
            <w:r>
              <w:rPr>
                <w:rFonts w:hint="eastAsia" w:asciiTheme="majorEastAsia" w:hAnsiTheme="majorEastAsia" w:eastAsiaTheme="majorEastAsia" w:cstheme="majorEastAsia"/>
                <w:spacing w:val="6"/>
                <w:sz w:val="21"/>
                <w:szCs w:val="21"/>
                <w:lang w:val="en-US" w:eastAsia="zh-CN"/>
              </w:rPr>
              <w:t>中心</w:t>
            </w:r>
          </w:p>
        </w:tc>
        <w:tc>
          <w:tcPr>
            <w:tcW w:w="1631"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建设工程规</w:t>
            </w:r>
          </w:p>
          <w:p>
            <w:pPr>
              <w:keepNext w:val="0"/>
              <w:keepLines w:val="0"/>
              <w:pageBreakBefore w:val="0"/>
              <w:widowControl w:val="0"/>
              <w:kinsoku/>
              <w:wordWrap/>
              <w:overflowPunct/>
              <w:topLinePunct w:val="0"/>
              <w:autoSpaceDE/>
              <w:autoSpaceDN/>
              <w:bidi w:val="0"/>
              <w:adjustRightInd/>
              <w:snapToGrid/>
              <w:spacing w:line="28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划类许可证</w:t>
            </w:r>
          </w:p>
          <w:p>
            <w:pPr>
              <w:keepNext w:val="0"/>
              <w:keepLines w:val="0"/>
              <w:pageBreakBefore w:val="0"/>
              <w:widowControl w:val="0"/>
              <w:kinsoku/>
              <w:wordWrap/>
              <w:overflowPunct/>
              <w:topLinePunct w:val="0"/>
              <w:autoSpaceDE/>
              <w:autoSpaceDN/>
              <w:bidi w:val="0"/>
              <w:adjustRightInd/>
              <w:snapToGrid/>
              <w:spacing w:line="28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核发</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修建性详细规划</w:t>
            </w:r>
          </w:p>
        </w:tc>
        <w:tc>
          <w:tcPr>
            <w:tcW w:w="748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firstLine="0"/>
              <w:jc w:val="left"/>
              <w:textAlignment w:val="auto"/>
              <w:rPr>
                <w:rFonts w:hint="eastAsia" w:asciiTheme="majorEastAsia" w:hAnsiTheme="majorEastAsia" w:eastAsiaTheme="majorEastAsia" w:cstheme="majorEastAsia"/>
                <w:spacing w:val="6"/>
                <w:sz w:val="21"/>
                <w:szCs w:val="21"/>
                <w:lang w:eastAsia="zh-CN"/>
              </w:rPr>
            </w:pPr>
            <w:r>
              <w:rPr>
                <w:rFonts w:hint="eastAsia" w:asciiTheme="majorEastAsia" w:hAnsiTheme="majorEastAsia" w:eastAsiaTheme="majorEastAsia" w:cstheme="majorEastAsia"/>
                <w:spacing w:val="6"/>
                <w:sz w:val="21"/>
                <w:szCs w:val="21"/>
              </w:rPr>
              <w:t>《中华人民共和国城乡规划法》(2007年10月28日主席令第七十四号，2015年4月24日予以修改)第四十条：在城市、镇规划区内进行建筑物、构筑物、道路、管线和其他工程建设的，建设单位或者个人应当向城市、县人民政府城乡规划主管部门或者省、自治区、直辖市人民政府确定的镇人民政府申请办理建设工程规划许可证。……对符合控制性详细规划和规划条件的，由城市、县人民政府城乡规划主管部门或者省、自治区、直辖市人民政府确定的镇人民政府核发建设工程规划许可证。……第四十四条：在城市、镇规划区内进行临时建设的，应当经城市、县人民政府城乡规划主管部门批准。临时建设影响近期建设规划或者控制性详细规划的实施以及交通、市容、安全等的，不得批准</w:t>
            </w:r>
            <w:r>
              <w:rPr>
                <w:rFonts w:hint="eastAsia" w:asciiTheme="majorEastAsia" w:hAnsiTheme="majorEastAsia" w:eastAsiaTheme="majorEastAsia" w:cstheme="majorEastAsia"/>
                <w:spacing w:val="6"/>
                <w:sz w:val="21"/>
                <w:szCs w:val="21"/>
                <w:lang w:eastAsia="zh-CN"/>
              </w:rPr>
              <w:t>。</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具有规划设计资质机构</w:t>
            </w:r>
          </w:p>
        </w:tc>
        <w:tc>
          <w:tcPr>
            <w:tcW w:w="96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双方协商</w:t>
            </w:r>
          </w:p>
        </w:tc>
        <w:tc>
          <w:tcPr>
            <w:tcW w:w="14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5" w:hRule="atLeast"/>
        </w:trPr>
        <w:tc>
          <w:tcPr>
            <w:tcW w:w="50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lang w:val="en-US" w:eastAsia="zh-CN"/>
              </w:rPr>
            </w:pPr>
            <w:r>
              <w:rPr>
                <w:rFonts w:hint="eastAsia" w:asciiTheme="majorEastAsia" w:hAnsiTheme="majorEastAsia" w:eastAsiaTheme="majorEastAsia" w:cstheme="majorEastAsia"/>
                <w:spacing w:val="6"/>
                <w:sz w:val="21"/>
                <w:szCs w:val="21"/>
                <w:lang w:val="en-US" w:eastAsia="zh-CN"/>
              </w:rPr>
              <w:t>46</w:t>
            </w:r>
          </w:p>
        </w:tc>
        <w:tc>
          <w:tcPr>
            <w:tcW w:w="835"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firstLine="0"/>
              <w:jc w:val="center"/>
              <w:textAlignment w:val="auto"/>
              <w:rPr>
                <w:rFonts w:hint="eastAsia" w:asciiTheme="majorEastAsia" w:hAnsiTheme="majorEastAsia" w:eastAsiaTheme="majorEastAsia" w:cstheme="majorEastAsia"/>
                <w:spacing w:val="6"/>
                <w:sz w:val="21"/>
                <w:szCs w:val="21"/>
                <w:lang w:val="en-US" w:eastAsia="zh-CN"/>
              </w:rPr>
            </w:pPr>
            <w:r>
              <w:rPr>
                <w:rFonts w:hint="eastAsia" w:asciiTheme="majorEastAsia" w:hAnsiTheme="majorEastAsia" w:eastAsiaTheme="majorEastAsia" w:cstheme="majorEastAsia"/>
                <w:spacing w:val="6"/>
                <w:sz w:val="21"/>
                <w:szCs w:val="21"/>
              </w:rPr>
              <w:t>县规划</w:t>
            </w:r>
            <w:r>
              <w:rPr>
                <w:rFonts w:hint="eastAsia" w:asciiTheme="majorEastAsia" w:hAnsiTheme="majorEastAsia" w:eastAsiaTheme="majorEastAsia" w:cstheme="majorEastAsia"/>
                <w:spacing w:val="6"/>
                <w:sz w:val="21"/>
                <w:szCs w:val="21"/>
                <w:lang w:val="en-US" w:eastAsia="zh-CN"/>
              </w:rPr>
              <w:t>中心</w:t>
            </w:r>
          </w:p>
        </w:tc>
        <w:tc>
          <w:tcPr>
            <w:tcW w:w="1631"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建设工程</w:t>
            </w:r>
          </w:p>
          <w:p>
            <w:pPr>
              <w:keepNext w:val="0"/>
              <w:keepLines w:val="0"/>
              <w:pageBreakBefore w:val="0"/>
              <w:widowControl w:val="0"/>
              <w:kinsoku/>
              <w:wordWrap/>
              <w:overflowPunct/>
              <w:topLinePunct w:val="0"/>
              <w:autoSpaceDE/>
              <w:autoSpaceDN/>
              <w:bidi w:val="0"/>
              <w:adjustRightInd/>
              <w:snapToGrid/>
              <w:spacing w:line="28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规划核验</w:t>
            </w:r>
          </w:p>
          <w:p>
            <w:pPr>
              <w:keepNext w:val="0"/>
              <w:keepLines w:val="0"/>
              <w:pageBreakBefore w:val="0"/>
              <w:widowControl w:val="0"/>
              <w:kinsoku/>
              <w:wordWrap/>
              <w:overflowPunct/>
              <w:topLinePunct w:val="0"/>
              <w:autoSpaceDE/>
              <w:autoSpaceDN/>
              <w:bidi w:val="0"/>
              <w:adjustRightInd/>
              <w:snapToGrid/>
              <w:spacing w:line="28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(验收)</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验线测绘</w:t>
            </w:r>
          </w:p>
          <w:p>
            <w:pPr>
              <w:keepNext w:val="0"/>
              <w:keepLines w:val="0"/>
              <w:pageBreakBefore w:val="0"/>
              <w:widowControl w:val="0"/>
              <w:kinsoku/>
              <w:wordWrap/>
              <w:overflowPunct/>
              <w:topLinePunct w:val="0"/>
              <w:autoSpaceDE/>
              <w:autoSpaceDN/>
              <w:bidi w:val="0"/>
              <w:adjustRightInd/>
              <w:snapToGrid/>
              <w:spacing w:line="28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成果</w:t>
            </w:r>
          </w:p>
        </w:tc>
        <w:tc>
          <w:tcPr>
            <w:tcW w:w="7484"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280" w:lineRule="exact"/>
              <w:ind w:left="0" w:firstLine="0"/>
              <w:jc w:val="left"/>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中华人民共和国城乡规划法》(2007年10月28日公布中华人民共和国主席令第74号)第四十五条：县级以上地方人民政府城乡规划主管部门按照国务院规定对建设工程是否符合规划条件予以核实。未经核实或者经核实不符合规划条件的，建设单位不得组织竣工验收。</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left="0" w:leftChars="0" w:firstLine="0"/>
              <w:jc w:val="left"/>
              <w:textAlignment w:val="auto"/>
              <w:rPr>
                <w:rFonts w:hint="eastAsia" w:asciiTheme="majorEastAsia" w:hAnsiTheme="majorEastAsia" w:eastAsiaTheme="majorEastAsia" w:cstheme="majorEastAsia"/>
                <w:spacing w:val="6"/>
                <w:sz w:val="21"/>
                <w:szCs w:val="21"/>
                <w:lang w:eastAsia="zh-CN"/>
              </w:rPr>
            </w:pPr>
            <w:r>
              <w:rPr>
                <w:rFonts w:hint="eastAsia" w:asciiTheme="majorEastAsia" w:hAnsiTheme="majorEastAsia" w:eastAsiaTheme="majorEastAsia" w:cstheme="majorEastAsia"/>
                <w:spacing w:val="6"/>
                <w:sz w:val="21"/>
                <w:szCs w:val="21"/>
              </w:rPr>
              <w:t>2.《河南省实施〈中华人民共和国城乡规划法〉办法》(2010年7月30日河南省第十一届人民代表大会常务委员会第十六次会议通过2010年7月30日河南省第十一届人民代表大会常务委员会公告第34号公布自2010年12月1日起施行)第55条：县级以上人民政府城乡规划主管部门应当对建设工程是否符合规划条件和许可内容予以核实。经核实符合规划条件和许可内容的，由县级以上人民政府城乡规划主管部门出具建设工程规划核实合格手续。未经城乡规划主管部门核实或者经核实不符合规划条件和许可内容的，建设单位不得组织竣工验收，建设行政主管部门不得办理竣工备案手续，房产管理部门不得办理房屋产权登记手续。建设单位应当在竣工验收后六个月内向城乡规划主管部门报送有关竣工验收资料</w:t>
            </w:r>
            <w:r>
              <w:rPr>
                <w:rFonts w:hint="eastAsia" w:asciiTheme="majorEastAsia" w:hAnsiTheme="majorEastAsia" w:eastAsiaTheme="majorEastAsia" w:cstheme="majorEastAsia"/>
                <w:spacing w:val="6"/>
                <w:sz w:val="21"/>
                <w:szCs w:val="21"/>
                <w:lang w:eastAsia="zh-CN"/>
              </w:rPr>
              <w:t>。</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具有规划设计资质机构</w:t>
            </w:r>
          </w:p>
        </w:tc>
        <w:tc>
          <w:tcPr>
            <w:tcW w:w="96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双方协商</w:t>
            </w:r>
          </w:p>
        </w:tc>
        <w:tc>
          <w:tcPr>
            <w:tcW w:w="14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0" w:hRule="atLeast"/>
        </w:trPr>
        <w:tc>
          <w:tcPr>
            <w:tcW w:w="50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jc w:val="center"/>
              <w:textAlignment w:val="auto"/>
              <w:rPr>
                <w:rFonts w:hint="eastAsia" w:asciiTheme="majorEastAsia" w:hAnsiTheme="majorEastAsia" w:eastAsiaTheme="majorEastAsia" w:cstheme="majorEastAsia"/>
                <w:spacing w:val="6"/>
                <w:sz w:val="21"/>
                <w:szCs w:val="21"/>
                <w:lang w:val="en-US" w:eastAsia="zh-CN"/>
              </w:rPr>
            </w:pPr>
            <w:r>
              <w:rPr>
                <w:rFonts w:hint="eastAsia" w:asciiTheme="majorEastAsia" w:hAnsiTheme="majorEastAsia" w:eastAsiaTheme="majorEastAsia" w:cstheme="majorEastAsia"/>
                <w:spacing w:val="6"/>
                <w:sz w:val="21"/>
                <w:szCs w:val="21"/>
                <w:lang w:val="en-US" w:eastAsia="zh-CN"/>
              </w:rPr>
              <w:t>47</w:t>
            </w:r>
          </w:p>
        </w:tc>
        <w:tc>
          <w:tcPr>
            <w:tcW w:w="83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县文广旅局</w:t>
            </w:r>
          </w:p>
        </w:tc>
        <w:tc>
          <w:tcPr>
            <w:tcW w:w="163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文物保护单</w:t>
            </w:r>
          </w:p>
          <w:p>
            <w:pPr>
              <w:keepNext w:val="0"/>
              <w:keepLines w:val="0"/>
              <w:pageBreakBefore w:val="0"/>
              <w:widowControl w:val="0"/>
              <w:kinsoku/>
              <w:wordWrap/>
              <w:overflowPunct/>
              <w:topLinePunct w:val="0"/>
              <w:autoSpaceDE/>
              <w:autoSpaceDN/>
              <w:bidi w:val="0"/>
              <w:adjustRightInd/>
              <w:snapToGrid/>
              <w:spacing w:line="4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位安全防护</w:t>
            </w:r>
          </w:p>
          <w:p>
            <w:pPr>
              <w:keepNext w:val="0"/>
              <w:keepLines w:val="0"/>
              <w:pageBreakBefore w:val="0"/>
              <w:widowControl w:val="0"/>
              <w:kinsoku/>
              <w:wordWrap/>
              <w:overflowPunct/>
              <w:topLinePunct w:val="0"/>
              <w:autoSpaceDE/>
              <w:autoSpaceDN/>
              <w:bidi w:val="0"/>
              <w:adjustRightInd/>
              <w:snapToGrid/>
              <w:spacing w:line="4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工程审批</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工程项目</w:t>
            </w:r>
          </w:p>
          <w:p>
            <w:pPr>
              <w:keepNext w:val="0"/>
              <w:keepLines w:val="0"/>
              <w:pageBreakBefore w:val="0"/>
              <w:widowControl w:val="0"/>
              <w:kinsoku/>
              <w:wordWrap/>
              <w:overflowPunct/>
              <w:topLinePunct w:val="0"/>
              <w:autoSpaceDE/>
              <w:autoSpaceDN/>
              <w:bidi w:val="0"/>
              <w:adjustRightInd/>
              <w:snapToGrid/>
              <w:spacing w:line="4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设计方案</w:t>
            </w:r>
          </w:p>
        </w:tc>
        <w:tc>
          <w:tcPr>
            <w:tcW w:w="748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jc w:val="left"/>
              <w:textAlignment w:val="auto"/>
              <w:rPr>
                <w:rFonts w:hint="eastAsia" w:asciiTheme="majorEastAsia" w:hAnsiTheme="majorEastAsia" w:eastAsiaTheme="majorEastAsia" w:cstheme="majorEastAsia"/>
                <w:spacing w:val="6"/>
                <w:sz w:val="21"/>
                <w:szCs w:val="21"/>
                <w:lang w:eastAsia="zh-CN"/>
              </w:rPr>
            </w:pPr>
            <w:r>
              <w:rPr>
                <w:rFonts w:hint="eastAsia" w:asciiTheme="majorEastAsia" w:hAnsiTheme="majorEastAsia" w:eastAsiaTheme="majorEastAsia" w:cstheme="majorEastAsia"/>
                <w:spacing w:val="6"/>
                <w:sz w:val="21"/>
                <w:szCs w:val="21"/>
              </w:rPr>
              <w:t>《文物保护工程管理办法》中华人民共和国文化部令第26号第四条文物保护单位应当制定专项的总体保护规划，文物保护工程应当依据批准的规划进行。第五条文物保护工程分为：保养维护工程、抢险加固工程、修缮工程、保护性设施建设工程、迁移工程等。第十条文物保护工程按照文物保护单位级别实行分级管理，并按以下规定履行报批程序：(一)全国重点文物保护单位保护工程，以省、自治区、直辖市文物行政部门为申报机关，国家文物局为审批机关。(二)省、自治区、直辖市级文物保护单位保护工程以文物所在地的市、县级文物行政部门为申报机关，省、自治区、直辖市文物行政部门为审批机关</w:t>
            </w:r>
            <w:r>
              <w:rPr>
                <w:rFonts w:hint="eastAsia" w:asciiTheme="majorEastAsia" w:hAnsiTheme="majorEastAsia" w:eastAsiaTheme="majorEastAsia" w:cstheme="majorEastAsia"/>
                <w:spacing w:val="6"/>
                <w:sz w:val="21"/>
                <w:szCs w:val="21"/>
                <w:lang w:eastAsia="zh-CN"/>
              </w:rPr>
              <w:t>。</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具有相应资质的设计</w:t>
            </w:r>
          </w:p>
          <w:p>
            <w:pPr>
              <w:keepNext w:val="0"/>
              <w:keepLines w:val="0"/>
              <w:pageBreakBefore w:val="0"/>
              <w:widowControl w:val="0"/>
              <w:kinsoku/>
              <w:wordWrap/>
              <w:overflowPunct/>
              <w:topLinePunct w:val="0"/>
              <w:autoSpaceDE/>
              <w:autoSpaceDN/>
              <w:bidi w:val="0"/>
              <w:adjustRightInd/>
              <w:snapToGrid/>
              <w:spacing w:line="4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机构</w:t>
            </w:r>
          </w:p>
        </w:tc>
        <w:tc>
          <w:tcPr>
            <w:tcW w:w="96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双方协商</w:t>
            </w:r>
          </w:p>
        </w:tc>
        <w:tc>
          <w:tcPr>
            <w:tcW w:w="14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5" w:hRule="atLeast"/>
        </w:trPr>
        <w:tc>
          <w:tcPr>
            <w:tcW w:w="50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jc w:val="center"/>
              <w:textAlignment w:val="auto"/>
              <w:rPr>
                <w:rFonts w:hint="eastAsia" w:asciiTheme="majorEastAsia" w:hAnsiTheme="majorEastAsia" w:eastAsiaTheme="majorEastAsia" w:cstheme="majorEastAsia"/>
                <w:spacing w:val="6"/>
                <w:sz w:val="21"/>
                <w:szCs w:val="21"/>
                <w:lang w:val="en-US" w:eastAsia="zh-CN"/>
              </w:rPr>
            </w:pPr>
            <w:r>
              <w:rPr>
                <w:rFonts w:hint="eastAsia" w:asciiTheme="majorEastAsia" w:hAnsiTheme="majorEastAsia" w:eastAsiaTheme="majorEastAsia" w:cstheme="majorEastAsia"/>
                <w:spacing w:val="6"/>
                <w:sz w:val="21"/>
                <w:szCs w:val="21"/>
                <w:lang w:val="en-US" w:eastAsia="zh-CN"/>
              </w:rPr>
              <w:t>48</w:t>
            </w:r>
          </w:p>
        </w:tc>
        <w:tc>
          <w:tcPr>
            <w:tcW w:w="83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县文广旅局</w:t>
            </w:r>
          </w:p>
        </w:tc>
        <w:tc>
          <w:tcPr>
            <w:tcW w:w="163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县级文物保护单位及未核定为文物保护单位的不可移动文物</w:t>
            </w:r>
          </w:p>
          <w:p>
            <w:pPr>
              <w:keepNext w:val="0"/>
              <w:keepLines w:val="0"/>
              <w:pageBreakBefore w:val="0"/>
              <w:widowControl w:val="0"/>
              <w:kinsoku/>
              <w:wordWrap/>
              <w:overflowPunct/>
              <w:topLinePunct w:val="0"/>
              <w:autoSpaceDE/>
              <w:autoSpaceDN/>
              <w:bidi w:val="0"/>
              <w:adjustRightInd/>
              <w:snapToGrid/>
              <w:spacing w:line="4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修缮审批</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文物保护单位修缮工程</w:t>
            </w:r>
          </w:p>
          <w:p>
            <w:pPr>
              <w:keepNext w:val="0"/>
              <w:keepLines w:val="0"/>
              <w:pageBreakBefore w:val="0"/>
              <w:widowControl w:val="0"/>
              <w:kinsoku/>
              <w:wordWrap/>
              <w:overflowPunct/>
              <w:topLinePunct w:val="0"/>
              <w:autoSpaceDE/>
              <w:autoSpaceDN/>
              <w:bidi w:val="0"/>
              <w:adjustRightInd/>
              <w:snapToGrid/>
              <w:spacing w:line="4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设计方案</w:t>
            </w:r>
          </w:p>
        </w:tc>
        <w:tc>
          <w:tcPr>
            <w:tcW w:w="748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jc w:val="left"/>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中华人民共和国文物保护法》第二十一条：“……对文物保护单位进行修缮，应当根据文物保护单位的级别报相应的文物行政部门批准；对未核定为文物保护单位的不可移动文物进行修缮，应当报登记的县级人民政府文物行政部门批准……。”</w:t>
            </w:r>
          </w:p>
          <w:p>
            <w:pPr>
              <w:keepNext w:val="0"/>
              <w:keepLines w:val="0"/>
              <w:pageBreakBefore w:val="0"/>
              <w:widowControl w:val="0"/>
              <w:kinsoku/>
              <w:wordWrap/>
              <w:overflowPunct/>
              <w:topLinePunct w:val="0"/>
              <w:autoSpaceDE/>
              <w:autoSpaceDN/>
              <w:bidi w:val="0"/>
              <w:adjustRightInd/>
              <w:snapToGrid/>
              <w:spacing w:line="400" w:lineRule="exact"/>
              <w:ind w:left="0" w:firstLine="0"/>
              <w:jc w:val="left"/>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《中华人民共和国文物保护法实施条例》第十八条：“文物行政主管部门在审批文物保护单位的修缮计划和工程设计方案前，应当征求上一级人民政府文物行政主管部门的意见。”</w:t>
            </w:r>
          </w:p>
          <w:p>
            <w:pPr>
              <w:keepNext w:val="0"/>
              <w:keepLines w:val="0"/>
              <w:pageBreakBefore w:val="0"/>
              <w:widowControl w:val="0"/>
              <w:kinsoku/>
              <w:wordWrap/>
              <w:overflowPunct/>
              <w:topLinePunct w:val="0"/>
              <w:autoSpaceDE/>
              <w:autoSpaceDN/>
              <w:bidi w:val="0"/>
              <w:adjustRightInd/>
              <w:snapToGrid/>
              <w:spacing w:line="400" w:lineRule="exact"/>
              <w:ind w:left="0" w:firstLine="0"/>
              <w:jc w:val="left"/>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《文物保护工程管理办法》第十条：“……全国重点文物保护单位保护工程，以省、自治区、直辖市文物行政部门为申报机关，国家文物局为审判机关。”</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具有相应资质的设计机构或可自行编制</w:t>
            </w:r>
          </w:p>
        </w:tc>
        <w:tc>
          <w:tcPr>
            <w:tcW w:w="96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双方协商</w:t>
            </w:r>
          </w:p>
        </w:tc>
        <w:tc>
          <w:tcPr>
            <w:tcW w:w="14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46" w:hRule="atLeast"/>
        </w:trPr>
        <w:tc>
          <w:tcPr>
            <w:tcW w:w="50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lang w:val="en-US" w:eastAsia="zh-CN"/>
              </w:rPr>
            </w:pPr>
            <w:r>
              <w:rPr>
                <w:rFonts w:hint="eastAsia" w:asciiTheme="majorEastAsia" w:hAnsiTheme="majorEastAsia" w:eastAsiaTheme="majorEastAsia" w:cstheme="majorEastAsia"/>
                <w:spacing w:val="6"/>
                <w:sz w:val="21"/>
                <w:szCs w:val="21"/>
                <w:lang w:val="en-US" w:eastAsia="zh-CN"/>
              </w:rPr>
              <w:t>49</w:t>
            </w:r>
          </w:p>
        </w:tc>
        <w:tc>
          <w:tcPr>
            <w:tcW w:w="835"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县文广旅局</w:t>
            </w:r>
          </w:p>
        </w:tc>
        <w:tc>
          <w:tcPr>
            <w:tcW w:w="16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基本建设工程文物考古调查、</w:t>
            </w:r>
          </w:p>
          <w:p>
            <w:pPr>
              <w:keepNext w:val="0"/>
              <w:keepLines w:val="0"/>
              <w:pageBreakBefore w:val="0"/>
              <w:widowControl w:val="0"/>
              <w:kinsoku/>
              <w:wordWrap/>
              <w:overflowPunct/>
              <w:topLinePunct w:val="0"/>
              <w:autoSpaceDE/>
              <w:autoSpaceDN/>
              <w:bidi w:val="0"/>
              <w:adjustRightInd/>
              <w:snapToGrid/>
              <w:spacing w:line="26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勘探审批</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文物勘探</w:t>
            </w:r>
          </w:p>
          <w:p>
            <w:pPr>
              <w:keepNext w:val="0"/>
              <w:keepLines w:val="0"/>
              <w:pageBreakBefore w:val="0"/>
              <w:widowControl w:val="0"/>
              <w:kinsoku/>
              <w:wordWrap/>
              <w:overflowPunct/>
              <w:topLinePunct w:val="0"/>
              <w:autoSpaceDE/>
              <w:autoSpaceDN/>
              <w:bidi w:val="0"/>
              <w:adjustRightInd/>
              <w:snapToGrid/>
              <w:spacing w:line="26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报告</w:t>
            </w:r>
          </w:p>
        </w:tc>
        <w:tc>
          <w:tcPr>
            <w:tcW w:w="7484" w:type="dxa"/>
            <w:vAlign w:val="center"/>
          </w:tcPr>
          <w:p>
            <w:pPr>
              <w:keepNext w:val="0"/>
              <w:keepLines w:val="0"/>
              <w:pageBreakBefore w:val="0"/>
              <w:widowControl w:val="0"/>
              <w:kinsoku/>
              <w:wordWrap/>
              <w:overflowPunct/>
              <w:topLinePunct w:val="0"/>
              <w:autoSpaceDE/>
              <w:autoSpaceDN/>
              <w:bidi w:val="0"/>
              <w:adjustRightInd/>
              <w:snapToGrid/>
              <w:spacing w:line="250" w:lineRule="exact"/>
              <w:ind w:left="0" w:firstLine="0"/>
              <w:jc w:val="left"/>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河南省实施《中华人民共和国文物保护法》办法第二十七条：“进行大型基本建设工程，以及在历史文化名城、名镇、名村保护规划范围内进行工程建设，建设单位应当事先报请当地文物行政部门组织从事考古发掘的单位在工程项目范围内及其取土区进行考古调查、勘探。规划成片开发的土地，县级以上人民政府应当先行组织进行考古调查、勘探。</w:t>
            </w:r>
          </w:p>
          <w:p>
            <w:pPr>
              <w:keepNext w:val="0"/>
              <w:keepLines w:val="0"/>
              <w:pageBreakBefore w:val="0"/>
              <w:widowControl w:val="0"/>
              <w:kinsoku/>
              <w:wordWrap/>
              <w:overflowPunct/>
              <w:topLinePunct w:val="0"/>
              <w:autoSpaceDE/>
              <w:autoSpaceDN/>
              <w:bidi w:val="0"/>
              <w:adjustRightInd/>
              <w:snapToGrid/>
              <w:spacing w:line="250" w:lineRule="exact"/>
              <w:ind w:left="0" w:firstLine="0"/>
              <w:jc w:val="left"/>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第二十八条：文物行政部门应当在接到考古调查、勘探申请之日起七日内，组织考古发掘单位进行考古调查、勘探。考古发掘单位应当在三十日内完成考古调查、勘探。因工程规模巨大确需延长的，应当报请省文物行政部门批准。考古发掘单位应当在考古调查、勘探结束七日内出具考古调查、勘探报告，并对报告的真实性负责。文物行政部门应当在接到考古调查、勘探报告后七日内作出考古调查、勘探结果处理书。对没有文物埋藏的，应当及时通知建设单位施工；有文物埋藏的，应当提出具体处理意见，送达建设单位。”国家文物局《关于加强基本建设工程中考古工作的指导意见》(文物保发〔2006〕42号):“一、开展基本建设工程中考古工作，应严格履行以下工作程序(一)在工程建设的“项目建议书”阶段，由文物考古机构收集建设项目涉及和影响区域内文物分布情况，提出初步文物保护意见，报省级文物行政部门确认后向设计单位提交《文物影响评估报告》。(二)在工程建设的“可行性研究"阶段，由省级文物行政部门组织文物考古机构，对建设项目涉及和影响区域进行专项考古调查，编制《文物调查工作报告》,报省级文物行政部门认可后提交设计单位或建设单位。(三)在工程建设的“初步设计”阶段，由省级文物行政部门组织具有考古勘探资质的单位，根据《文物调查工作报告》对建设项目涉及和影响区域有可能埋藏文物的地点进行勘探，向建设单位提交《考古勘探工作报告》,提交前应报省级文物行政部门备案。(四)在工程实施前，由省级文物行政部门委托具有考古发掘资质的单位，依据《考古勘探工作报告》,编制考古发掘计划，经省级文物行政部门初步审查后报送国家文物局。考古发掘单位依据发掘计划与建设单位签定工作合同，填报考古发掘申请书，经批准后实施。如发掘计划发生变更，应及时上报。二、基本建设工程中的考古工作，应按照以下规范进行(三)考古勘探考古勘探主要依据《文物调查工作报告》对建设项目涉及和影响区域内的已知文物点和有可能埋藏文物的地点进行考古钻探，查明地下文物分布状况。</w:t>
            </w:r>
          </w:p>
          <w:p>
            <w:pPr>
              <w:keepNext w:val="0"/>
              <w:keepLines w:val="0"/>
              <w:pageBreakBefore w:val="0"/>
              <w:widowControl w:val="0"/>
              <w:kinsoku/>
              <w:wordWrap/>
              <w:overflowPunct/>
              <w:topLinePunct w:val="0"/>
              <w:autoSpaceDE/>
              <w:autoSpaceDN/>
              <w:bidi w:val="0"/>
              <w:adjustRightInd/>
              <w:snapToGrid/>
              <w:spacing w:line="250" w:lineRule="exact"/>
              <w:ind w:left="0" w:firstLine="0"/>
              <w:jc w:val="left"/>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考古勘探工作报告》由文字、图纸和照片等部分组成。文字内容应包括时间、地点、范围、面积、堆积深度、勘探结果、保护意见等；图纸包括文物点分布图、勘探平面图等；照片包括工作场景、遗迹、遗物等。《考古勘探工作报告》应于勘探工作结束后15个工作日内完成。四、加强管理，明确职责，确保基本建设考古工作顺利开展(一)基本建设项目的考古调查、勘探、发掘工作由省级文物行政部门统一负责协调管理和组织实施。跨省区建设项目的考古工作，由工程所在地的省级文物行政部门联合组织实施，并将实施情况抄报国家文物局；特别重要的考古项目，由国家文物局进行协调。省级以下各级文物行政部门负责协助做好本辖区内建设项目的考古发掘工作。”</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具有相应资质的设计</w:t>
            </w:r>
          </w:p>
          <w:p>
            <w:pPr>
              <w:keepNext w:val="0"/>
              <w:keepLines w:val="0"/>
              <w:pageBreakBefore w:val="0"/>
              <w:widowControl w:val="0"/>
              <w:kinsoku/>
              <w:wordWrap/>
              <w:overflowPunct/>
              <w:topLinePunct w:val="0"/>
              <w:autoSpaceDE/>
              <w:autoSpaceDN/>
              <w:bidi w:val="0"/>
              <w:adjustRightInd/>
              <w:snapToGrid/>
              <w:spacing w:line="26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机构</w:t>
            </w:r>
          </w:p>
        </w:tc>
        <w:tc>
          <w:tcPr>
            <w:tcW w:w="965"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双方协商</w:t>
            </w:r>
          </w:p>
        </w:tc>
        <w:tc>
          <w:tcPr>
            <w:tcW w:w="148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2" w:hRule="atLeast"/>
        </w:trPr>
        <w:tc>
          <w:tcPr>
            <w:tcW w:w="50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lang w:val="en-US" w:eastAsia="zh-CN"/>
              </w:rPr>
            </w:pPr>
            <w:r>
              <w:rPr>
                <w:rFonts w:hint="eastAsia" w:asciiTheme="majorEastAsia" w:hAnsiTheme="majorEastAsia" w:eastAsiaTheme="majorEastAsia" w:cstheme="majorEastAsia"/>
                <w:spacing w:val="6"/>
                <w:sz w:val="21"/>
                <w:szCs w:val="21"/>
                <w:lang w:val="en-US" w:eastAsia="zh-CN"/>
              </w:rPr>
              <w:t>50</w:t>
            </w:r>
          </w:p>
        </w:tc>
        <w:tc>
          <w:tcPr>
            <w:tcW w:w="83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县文广旅局</w:t>
            </w:r>
          </w:p>
        </w:tc>
        <w:tc>
          <w:tcPr>
            <w:tcW w:w="163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县级文物保护单位建设控制地带内建设工程设计方案审批</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文物勘探报告</w:t>
            </w:r>
          </w:p>
        </w:tc>
        <w:tc>
          <w:tcPr>
            <w:tcW w:w="748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left"/>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中华人民共和国文物保护法》第十八条：“根据保护文物的实际需要，经省、自治区、直辖市人民政府批准，可以在文物保护单位的周围划出一定的建设控制地带，并予以公布。在文物保护单位的建设控制地带内进行建设工程，不得破坏文物保护单位的历史风貌；工程设计方案应当根据文物保护单位的级别，经相应的文物行政部门同意后，报城乡建设规划部门批准。”第二十九条：“进行大型基本建设工程，建设单位应当事先报请省、自治区、直辖市人民政府文物行政部门组织从事考古发掘的单位在工程范围内有可能埋藏文物的地方进行考古调查、勘探。考古调查、勘探中发现文物的，由省、自治区、直辖市人民政府文物行政部门根据文物保护的要求会同建设单位共同商定保护措施；遇有重要发现的，由省、自治区、直辖市人民政府文物行政部门及时报国务院文物行政部门处理。”</w:t>
            </w:r>
          </w:p>
          <w:p>
            <w:pPr>
              <w:keepNext w:val="0"/>
              <w:keepLines w:val="0"/>
              <w:pageBreakBefore w:val="0"/>
              <w:widowControl w:val="0"/>
              <w:kinsoku/>
              <w:wordWrap/>
              <w:overflowPunct/>
              <w:topLinePunct w:val="0"/>
              <w:autoSpaceDE/>
              <w:autoSpaceDN/>
              <w:bidi w:val="0"/>
              <w:adjustRightInd/>
              <w:snapToGrid/>
              <w:spacing w:line="300" w:lineRule="exact"/>
              <w:ind w:left="0" w:firstLine="0"/>
              <w:jc w:val="left"/>
              <w:textAlignment w:val="auto"/>
              <w:rPr>
                <w:rFonts w:hint="eastAsia" w:asciiTheme="majorEastAsia" w:hAnsiTheme="majorEastAsia" w:eastAsiaTheme="majorEastAsia" w:cstheme="majorEastAsia"/>
                <w:spacing w:val="6"/>
                <w:sz w:val="21"/>
                <w:szCs w:val="21"/>
                <w:lang w:eastAsia="zh-CN"/>
              </w:rPr>
            </w:pPr>
            <w:r>
              <w:rPr>
                <w:rFonts w:hint="eastAsia" w:asciiTheme="majorEastAsia" w:hAnsiTheme="majorEastAsia" w:eastAsiaTheme="majorEastAsia" w:cstheme="majorEastAsia"/>
                <w:spacing w:val="6"/>
                <w:sz w:val="21"/>
                <w:szCs w:val="21"/>
              </w:rPr>
              <w:t>国家文物局《关于加强基本建设工程中考古工作的指导意见》(文物保发〔2006〕42号)第一条：开展基本建设工程中考古工作，应严格履行以下工作程序(一)在工程建设的“项目建议书”阶段，由文物考古机构收集建设项目涉及和影响区域内文物分布情况，提出初步文物保护意见，报省级文物行政部门确认后向设计单位提交《文物影响评估报告》。(二)在工程建设的“可行性研究”阶段，由省级文物行政部门组织文物考古机构，对建设项目涉及和影响区域进行专项考古调查，编制《文物调查工作报告》,报省级文物行政部门认可后提交设计单位或建设单位。(三)在工程建设的“初步设计”阶段，由省级文物行政部门组织具有考古勘探资质的单位，根据《文物调查工作报告》对建设项目涉及和影响区域有可能埋藏文物的地点进行勘探，向建设单位提交《考古勘探工作报告》,提交前应报省级文物行政部门备案</w:t>
            </w:r>
            <w:r>
              <w:rPr>
                <w:rFonts w:hint="eastAsia" w:asciiTheme="majorEastAsia" w:hAnsiTheme="majorEastAsia" w:eastAsiaTheme="majorEastAsia" w:cstheme="majorEastAsia"/>
                <w:spacing w:val="6"/>
                <w:sz w:val="21"/>
                <w:szCs w:val="21"/>
                <w:lang w:eastAsia="zh-CN"/>
              </w:rPr>
              <w:t>。</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具有相应资质的设计</w:t>
            </w:r>
          </w:p>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机构</w:t>
            </w:r>
          </w:p>
        </w:tc>
        <w:tc>
          <w:tcPr>
            <w:tcW w:w="96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双方协商</w:t>
            </w:r>
          </w:p>
        </w:tc>
        <w:tc>
          <w:tcPr>
            <w:tcW w:w="14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9" w:hRule="atLeast"/>
        </w:trPr>
        <w:tc>
          <w:tcPr>
            <w:tcW w:w="50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lang w:val="en-US" w:eastAsia="zh-CN"/>
              </w:rPr>
            </w:pPr>
            <w:r>
              <w:rPr>
                <w:rFonts w:hint="eastAsia" w:asciiTheme="majorEastAsia" w:hAnsiTheme="majorEastAsia" w:eastAsiaTheme="majorEastAsia" w:cstheme="majorEastAsia"/>
                <w:spacing w:val="6"/>
                <w:sz w:val="21"/>
                <w:szCs w:val="21"/>
                <w:lang w:val="en-US" w:eastAsia="zh-CN"/>
              </w:rPr>
              <w:t>51</w:t>
            </w:r>
          </w:p>
        </w:tc>
        <w:tc>
          <w:tcPr>
            <w:tcW w:w="83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县文广旅局</w:t>
            </w:r>
          </w:p>
        </w:tc>
        <w:tc>
          <w:tcPr>
            <w:tcW w:w="163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县级文物保护单位原址保护措施审批</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文物保护单位原址保护工程勘察设计方案</w:t>
            </w:r>
          </w:p>
        </w:tc>
        <w:tc>
          <w:tcPr>
            <w:tcW w:w="748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left"/>
              <w:textAlignment w:val="auto"/>
              <w:rPr>
                <w:rFonts w:hint="eastAsia" w:asciiTheme="majorEastAsia" w:hAnsiTheme="majorEastAsia" w:eastAsiaTheme="majorEastAsia" w:cstheme="majorEastAsia"/>
                <w:spacing w:val="6"/>
                <w:sz w:val="21"/>
                <w:szCs w:val="21"/>
                <w:lang w:eastAsia="zh-CN"/>
              </w:rPr>
            </w:pPr>
            <w:r>
              <w:rPr>
                <w:rFonts w:hint="eastAsia" w:asciiTheme="majorEastAsia" w:hAnsiTheme="majorEastAsia" w:eastAsiaTheme="majorEastAsia" w:cstheme="majorEastAsia"/>
                <w:spacing w:val="6"/>
                <w:sz w:val="21"/>
                <w:szCs w:val="21"/>
              </w:rPr>
              <w:t>《中华人民共和国文物保护法》第二十条：“建设工程选址，应当尽可能避开不可移动文物；因特殊情况不能避开的，对文物保护单位应当尽可能实施原址保护。实施原址保护的，建设单位应当事先确定保护措施，根据文物保护单位的级别报相应的文物行政部门批准，并将保护措施列入可行性研究报告或者设计任务书</w:t>
            </w:r>
            <w:r>
              <w:rPr>
                <w:rFonts w:hint="eastAsia" w:asciiTheme="majorEastAsia" w:hAnsiTheme="majorEastAsia" w:eastAsiaTheme="majorEastAsia" w:cstheme="majorEastAsia"/>
                <w:spacing w:val="6"/>
                <w:sz w:val="21"/>
                <w:szCs w:val="21"/>
                <w:lang w:eastAsia="zh-CN"/>
              </w:rPr>
              <w:t>。</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具有相应资质的设计机构或可自行编制</w:t>
            </w:r>
          </w:p>
        </w:tc>
        <w:tc>
          <w:tcPr>
            <w:tcW w:w="96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双方协商</w:t>
            </w:r>
          </w:p>
        </w:tc>
        <w:tc>
          <w:tcPr>
            <w:tcW w:w="14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5" w:hRule="atLeast"/>
        </w:trPr>
        <w:tc>
          <w:tcPr>
            <w:tcW w:w="50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lang w:val="en-US" w:eastAsia="zh-CN"/>
              </w:rPr>
            </w:pPr>
            <w:r>
              <w:rPr>
                <w:rFonts w:hint="eastAsia" w:asciiTheme="majorEastAsia" w:hAnsiTheme="majorEastAsia" w:eastAsiaTheme="majorEastAsia" w:cstheme="majorEastAsia"/>
                <w:spacing w:val="6"/>
                <w:sz w:val="21"/>
                <w:szCs w:val="21"/>
                <w:lang w:val="en-US" w:eastAsia="zh-CN"/>
              </w:rPr>
              <w:t>52</w:t>
            </w:r>
          </w:p>
        </w:tc>
        <w:tc>
          <w:tcPr>
            <w:tcW w:w="83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县金融办</w:t>
            </w:r>
          </w:p>
        </w:tc>
        <w:tc>
          <w:tcPr>
            <w:tcW w:w="163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融资担保公</w:t>
            </w:r>
          </w:p>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司的设立与</w:t>
            </w:r>
          </w:p>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lang w:eastAsia="zh-CN"/>
              </w:rPr>
            </w:pPr>
            <w:r>
              <w:rPr>
                <w:rFonts w:hint="eastAsia" w:asciiTheme="majorEastAsia" w:hAnsiTheme="majorEastAsia" w:eastAsiaTheme="majorEastAsia" w:cstheme="majorEastAsia"/>
                <w:spacing w:val="6"/>
                <w:sz w:val="21"/>
                <w:szCs w:val="21"/>
              </w:rPr>
              <w:t>变更审批</w:t>
            </w:r>
            <w:r>
              <w:rPr>
                <w:rFonts w:hint="eastAsia" w:asciiTheme="majorEastAsia" w:hAnsiTheme="majorEastAsia" w:eastAsiaTheme="majorEastAsia" w:cstheme="majorEastAsia"/>
                <w:spacing w:val="6"/>
                <w:sz w:val="21"/>
                <w:szCs w:val="21"/>
                <w:lang w:eastAsia="zh-CN"/>
              </w:rPr>
              <w:t>（</w:t>
            </w:r>
            <w:r>
              <w:rPr>
                <w:rFonts w:hint="eastAsia" w:asciiTheme="majorEastAsia" w:hAnsiTheme="majorEastAsia" w:eastAsiaTheme="majorEastAsia" w:cstheme="majorEastAsia"/>
                <w:spacing w:val="6"/>
                <w:sz w:val="21"/>
                <w:szCs w:val="21"/>
                <w:lang w:val="en-US" w:eastAsia="zh-CN"/>
              </w:rPr>
              <w:t>初审</w:t>
            </w:r>
            <w:r>
              <w:rPr>
                <w:rFonts w:hint="eastAsia" w:asciiTheme="majorEastAsia" w:hAnsiTheme="majorEastAsia" w:eastAsiaTheme="majorEastAsia" w:cstheme="majorEastAsia"/>
                <w:spacing w:val="6"/>
                <w:sz w:val="21"/>
                <w:szCs w:val="21"/>
                <w:lang w:eastAsia="zh-CN"/>
              </w:rPr>
              <w:t>）</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可行性研究报</w:t>
            </w:r>
          </w:p>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告、法定验资机构出具的在有效期内的验资报告</w:t>
            </w:r>
          </w:p>
        </w:tc>
        <w:tc>
          <w:tcPr>
            <w:tcW w:w="748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left"/>
              <w:textAlignment w:val="auto"/>
              <w:rPr>
                <w:rFonts w:hint="eastAsia" w:asciiTheme="majorEastAsia" w:hAnsiTheme="majorEastAsia" w:eastAsiaTheme="majorEastAsia" w:cstheme="majorEastAsia"/>
                <w:spacing w:val="6"/>
                <w:sz w:val="21"/>
                <w:szCs w:val="21"/>
                <w:lang w:eastAsia="zh-CN"/>
              </w:rPr>
            </w:pPr>
            <w:r>
              <w:rPr>
                <w:rFonts w:hint="eastAsia" w:asciiTheme="majorEastAsia" w:hAnsiTheme="majorEastAsia" w:eastAsiaTheme="majorEastAsia" w:cstheme="majorEastAsia"/>
                <w:spacing w:val="6"/>
                <w:sz w:val="21"/>
                <w:szCs w:val="21"/>
              </w:rPr>
              <w:t>《融资担保公司监督管理条例》(2017年8月2日国务院令第683号)第六条：设立融资担保公司，应当经监督管理部门批准；第九条：融资担保公司合并、分立或者减少注册资本，应当经监督管理部门批准；第四条：省、自治区、直辖市人民政府确定的部门负责对本地区融资担保公司的监督管理</w:t>
            </w:r>
            <w:r>
              <w:rPr>
                <w:rFonts w:hint="eastAsia" w:asciiTheme="majorEastAsia" w:hAnsiTheme="majorEastAsia" w:eastAsiaTheme="majorEastAsia" w:cstheme="majorEastAsia"/>
                <w:spacing w:val="6"/>
                <w:sz w:val="21"/>
                <w:szCs w:val="21"/>
                <w:lang w:eastAsia="zh-CN"/>
              </w:rPr>
              <w:t>。</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具有相应资质的设计</w:t>
            </w:r>
          </w:p>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机构</w:t>
            </w:r>
          </w:p>
        </w:tc>
        <w:tc>
          <w:tcPr>
            <w:tcW w:w="96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双方协商</w:t>
            </w:r>
          </w:p>
        </w:tc>
        <w:tc>
          <w:tcPr>
            <w:tcW w:w="14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87" w:hRule="atLeast"/>
        </w:trPr>
        <w:tc>
          <w:tcPr>
            <w:tcW w:w="50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lang w:val="en-US" w:eastAsia="zh-CN"/>
              </w:rPr>
            </w:pPr>
            <w:r>
              <w:rPr>
                <w:rFonts w:hint="eastAsia" w:asciiTheme="majorEastAsia" w:hAnsiTheme="majorEastAsia" w:eastAsiaTheme="majorEastAsia" w:cstheme="majorEastAsia"/>
                <w:spacing w:val="6"/>
                <w:sz w:val="21"/>
                <w:szCs w:val="21"/>
                <w:lang w:val="en-US" w:eastAsia="zh-CN"/>
              </w:rPr>
              <w:t>53</w:t>
            </w:r>
          </w:p>
        </w:tc>
        <w:tc>
          <w:tcPr>
            <w:tcW w:w="835"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县金融办</w:t>
            </w:r>
          </w:p>
        </w:tc>
        <w:tc>
          <w:tcPr>
            <w:tcW w:w="1631"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firstLine="0"/>
              <w:jc w:val="center"/>
              <w:textAlignment w:val="auto"/>
              <w:rPr>
                <w:rFonts w:hint="eastAsia" w:asciiTheme="majorEastAsia" w:hAnsiTheme="majorEastAsia" w:eastAsiaTheme="majorEastAsia" w:cstheme="majorEastAsia"/>
                <w:spacing w:val="6"/>
                <w:sz w:val="21"/>
                <w:szCs w:val="21"/>
                <w:lang w:eastAsia="zh-CN"/>
              </w:rPr>
            </w:pPr>
            <w:r>
              <w:rPr>
                <w:rFonts w:hint="eastAsia" w:asciiTheme="majorEastAsia" w:hAnsiTheme="majorEastAsia" w:eastAsiaTheme="majorEastAsia" w:cstheme="majorEastAsia"/>
                <w:spacing w:val="6"/>
                <w:sz w:val="21"/>
                <w:szCs w:val="21"/>
              </w:rPr>
              <w:t>小额贷款公司设立、变更和退出批准</w:t>
            </w:r>
            <w:r>
              <w:rPr>
                <w:rFonts w:hint="eastAsia" w:asciiTheme="majorEastAsia" w:hAnsiTheme="majorEastAsia" w:eastAsiaTheme="majorEastAsia" w:cstheme="majorEastAsia"/>
                <w:spacing w:val="6"/>
                <w:sz w:val="21"/>
                <w:szCs w:val="21"/>
                <w:lang w:eastAsia="zh-CN"/>
              </w:rPr>
              <w:t>（</w:t>
            </w:r>
            <w:r>
              <w:rPr>
                <w:rFonts w:hint="eastAsia" w:asciiTheme="majorEastAsia" w:hAnsiTheme="majorEastAsia" w:eastAsiaTheme="majorEastAsia" w:cstheme="majorEastAsia"/>
                <w:spacing w:val="6"/>
                <w:sz w:val="21"/>
                <w:szCs w:val="21"/>
                <w:lang w:val="en-US" w:eastAsia="zh-CN"/>
              </w:rPr>
              <w:t>初审</w:t>
            </w:r>
            <w:r>
              <w:rPr>
                <w:rFonts w:hint="eastAsia" w:asciiTheme="majorEastAsia" w:hAnsiTheme="majorEastAsia" w:eastAsiaTheme="majorEastAsia" w:cstheme="majorEastAsia"/>
                <w:spacing w:val="6"/>
                <w:sz w:val="21"/>
                <w:szCs w:val="21"/>
                <w:lang w:eastAsia="zh-CN"/>
              </w:rPr>
              <w:t>）</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可行性研究报</w:t>
            </w:r>
          </w:p>
          <w:p>
            <w:pPr>
              <w:keepNext w:val="0"/>
              <w:keepLines w:val="0"/>
              <w:pageBreakBefore w:val="0"/>
              <w:widowControl w:val="0"/>
              <w:kinsoku/>
              <w:wordWrap/>
              <w:overflowPunct/>
              <w:topLinePunct w:val="0"/>
              <w:autoSpaceDE/>
              <w:autoSpaceDN/>
              <w:bidi w:val="0"/>
              <w:adjustRightInd/>
              <w:snapToGrid/>
              <w:spacing w:line="28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告、法定验资机构出具的在有效期内的验资报告</w:t>
            </w:r>
          </w:p>
        </w:tc>
        <w:tc>
          <w:tcPr>
            <w:tcW w:w="748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firstLine="0"/>
              <w:jc w:val="left"/>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一、《关于加强影子银行监管有关问题的通知》(国办发(2013)107号)第二条“进一步落实责任分工"第三项“……小贷公司由银监会会同人民银行等制定统一的监督管理制度和经营管理规则，建立行业协会自律机制，省级人民政府负责具体监督管理。”</w:t>
            </w:r>
          </w:p>
          <w:p>
            <w:pPr>
              <w:keepNext w:val="0"/>
              <w:keepLines w:val="0"/>
              <w:pageBreakBefore w:val="0"/>
              <w:widowControl w:val="0"/>
              <w:kinsoku/>
              <w:wordWrap/>
              <w:overflowPunct/>
              <w:topLinePunct w:val="0"/>
              <w:autoSpaceDE/>
              <w:autoSpaceDN/>
              <w:bidi w:val="0"/>
              <w:adjustRightInd/>
              <w:snapToGrid/>
              <w:spacing w:line="280" w:lineRule="exact"/>
              <w:ind w:left="0" w:firstLine="0"/>
              <w:jc w:val="left"/>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二、《关于小额贷款公司试点的指导意见》(银监发〔2008〕23号)第二条“…申请设立小额贷款公司，应向省级政府主管部门提出正式申请，经批准后，到当地工商行政管理部门申请办理注册登记手续并领取营业执照…”</w:t>
            </w:r>
          </w:p>
          <w:p>
            <w:pPr>
              <w:keepNext w:val="0"/>
              <w:keepLines w:val="0"/>
              <w:pageBreakBefore w:val="0"/>
              <w:widowControl w:val="0"/>
              <w:kinsoku/>
              <w:wordWrap/>
              <w:overflowPunct/>
              <w:topLinePunct w:val="0"/>
              <w:autoSpaceDE/>
              <w:autoSpaceDN/>
              <w:bidi w:val="0"/>
              <w:adjustRightInd/>
              <w:snapToGrid/>
              <w:spacing w:line="280" w:lineRule="exact"/>
              <w:ind w:left="0" w:firstLine="0"/>
              <w:jc w:val="left"/>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第五条"凡是省级政府能明确一个主管部门(金融办或相关机构)负责对小额贷款公司的监督管理，并愿意承担小额贷款公司风险处置责任的，方可在本省(区、市)的县域范围内开展组建小额贷款公司试点……。”</w:t>
            </w:r>
          </w:p>
          <w:p>
            <w:pPr>
              <w:keepNext w:val="0"/>
              <w:keepLines w:val="0"/>
              <w:pageBreakBefore w:val="0"/>
              <w:widowControl w:val="0"/>
              <w:kinsoku/>
              <w:wordWrap/>
              <w:overflowPunct/>
              <w:topLinePunct w:val="0"/>
              <w:autoSpaceDE/>
              <w:autoSpaceDN/>
              <w:bidi w:val="0"/>
              <w:adjustRightInd/>
              <w:snapToGrid/>
              <w:spacing w:line="280" w:lineRule="exact"/>
              <w:ind w:left="0" w:firstLine="0"/>
              <w:jc w:val="left"/>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三、《河南省人民政府办公厅关于开展小额贷款公司试点工作的意见》(豫政办(2008)100号)第三条监管措施“(一)省中小企业服务局作为全省小额贷款公司试点工作主管部门，要会同有关部门制定具体明确的试点管理办法，负责对小额贷款公司的设立、变更和市场退出等事项进行核准，指导与督促省辖市、县(市、区)政府加强对小额贷款公司的监管。”</w:t>
            </w:r>
          </w:p>
          <w:p>
            <w:pPr>
              <w:keepNext w:val="0"/>
              <w:keepLines w:val="0"/>
              <w:pageBreakBefore w:val="0"/>
              <w:widowControl w:val="0"/>
              <w:kinsoku/>
              <w:wordWrap/>
              <w:overflowPunct/>
              <w:topLinePunct w:val="0"/>
              <w:autoSpaceDE/>
              <w:autoSpaceDN/>
              <w:bidi w:val="0"/>
              <w:adjustRightInd/>
              <w:snapToGrid/>
              <w:spacing w:line="280" w:lineRule="exact"/>
              <w:ind w:left="0" w:firstLine="0"/>
              <w:jc w:val="left"/>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四、河南省工业和信息化厅河南省公安厅河南省财政厅河南省工商行政管理局河南省人民政府金融服务办公室中国人民银行郑州中心支行《关于印发&lt;河南省小额贷款公司试点管理暂行办法&gt;的通知》(豫工信〔2012〕525号)第四条“河南省工业和信息化厅为全省小额贷款公司试点工作主管部门，会同有关部门制定具体明确的试点管理暂行办法，负责对小额贷款公司的设立、变更和终止等事项进行核准，指导与督促省辖市、县(市、区)政府加强对小额贷款公司的监管，制定明确的金融风险防范措施，落实相应的处置责任，建立小额贷款公司的动态监督系统，及时识别、预警、防范和处置风险等，实施日常监督管理。”</w:t>
            </w:r>
          </w:p>
          <w:p>
            <w:pPr>
              <w:keepNext w:val="0"/>
              <w:keepLines w:val="0"/>
              <w:pageBreakBefore w:val="0"/>
              <w:widowControl w:val="0"/>
              <w:kinsoku/>
              <w:wordWrap/>
              <w:overflowPunct/>
              <w:topLinePunct w:val="0"/>
              <w:autoSpaceDE/>
              <w:autoSpaceDN/>
              <w:bidi w:val="0"/>
              <w:adjustRightInd/>
              <w:snapToGrid/>
              <w:spacing w:line="280" w:lineRule="exact"/>
              <w:ind w:left="0" w:firstLine="0"/>
              <w:jc w:val="left"/>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五、《中共河南省委办公厅河南省人民政府办公厅关于印发〈中共河南省委金融工作委员河南省人民政府金融服务办公室主要职责内设机构和人员编制规定〉的通知》(厅文(2015)4号)第一条“职能转变""将省工业和信息化委员会承担的小额贷款公司和融资性担保机构的监督管理职责划入省人民政府金融服务办公室。”</w:t>
            </w:r>
          </w:p>
          <w:p>
            <w:pPr>
              <w:keepNext w:val="0"/>
              <w:keepLines w:val="0"/>
              <w:pageBreakBefore w:val="0"/>
              <w:widowControl w:val="0"/>
              <w:kinsoku/>
              <w:wordWrap/>
              <w:overflowPunct/>
              <w:topLinePunct w:val="0"/>
              <w:autoSpaceDE/>
              <w:autoSpaceDN/>
              <w:bidi w:val="0"/>
              <w:adjustRightInd/>
              <w:snapToGrid/>
              <w:spacing w:line="280" w:lineRule="exact"/>
              <w:ind w:left="0" w:firstLine="0"/>
              <w:jc w:val="left"/>
              <w:textAlignment w:val="auto"/>
              <w:rPr>
                <w:rFonts w:hint="default" w:asciiTheme="majorEastAsia" w:hAnsiTheme="majorEastAsia" w:eastAsiaTheme="majorEastAsia" w:cstheme="majorEastAsia"/>
                <w:spacing w:val="6"/>
                <w:sz w:val="21"/>
                <w:szCs w:val="21"/>
                <w:lang w:val="en-US" w:eastAsia="zh-CN"/>
              </w:rPr>
            </w:pPr>
            <w:r>
              <w:rPr>
                <w:rFonts w:hint="eastAsia" w:asciiTheme="majorEastAsia" w:hAnsiTheme="majorEastAsia" w:eastAsiaTheme="majorEastAsia" w:cstheme="majorEastAsia"/>
                <w:spacing w:val="6"/>
                <w:sz w:val="21"/>
                <w:szCs w:val="21"/>
              </w:rPr>
              <w:t>六、《河南省人民政府关于取消和调整省政府部门行政职权事项的决定》(豫政(2018)21号)保留的省政府部门行政职权目录第219页“小额贷款公司设立、变更和退出批准”</w:t>
            </w:r>
            <w:r>
              <w:rPr>
                <w:rFonts w:hint="eastAsia" w:asciiTheme="majorEastAsia" w:hAnsiTheme="majorEastAsia" w:eastAsiaTheme="majorEastAsia" w:cstheme="majorEastAsia"/>
                <w:spacing w:val="6"/>
                <w:sz w:val="21"/>
                <w:szCs w:val="21"/>
                <w:lang w:val="en-US" w:eastAsia="zh-CN"/>
              </w:rPr>
              <w:t xml:space="preserve">       </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具有相应资质的设计</w:t>
            </w:r>
          </w:p>
          <w:p>
            <w:pPr>
              <w:keepNext w:val="0"/>
              <w:keepLines w:val="0"/>
              <w:pageBreakBefore w:val="0"/>
              <w:widowControl w:val="0"/>
              <w:kinsoku/>
              <w:wordWrap/>
              <w:overflowPunct/>
              <w:topLinePunct w:val="0"/>
              <w:autoSpaceDE/>
              <w:autoSpaceDN/>
              <w:bidi w:val="0"/>
              <w:adjustRightInd/>
              <w:snapToGrid/>
              <w:spacing w:line="28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机构</w:t>
            </w:r>
          </w:p>
        </w:tc>
        <w:tc>
          <w:tcPr>
            <w:tcW w:w="965"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双方协商</w:t>
            </w:r>
          </w:p>
        </w:tc>
        <w:tc>
          <w:tcPr>
            <w:tcW w:w="148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9" w:hRule="atLeast"/>
        </w:trPr>
        <w:tc>
          <w:tcPr>
            <w:tcW w:w="50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spacing w:val="6"/>
                <w:sz w:val="21"/>
                <w:szCs w:val="21"/>
                <w:lang w:val="en-US" w:eastAsia="zh-CN"/>
              </w:rPr>
            </w:pPr>
            <w:r>
              <w:rPr>
                <w:rFonts w:hint="eastAsia" w:asciiTheme="majorEastAsia" w:hAnsiTheme="majorEastAsia" w:eastAsiaTheme="majorEastAsia" w:cstheme="majorEastAsia"/>
                <w:spacing w:val="6"/>
                <w:sz w:val="21"/>
                <w:szCs w:val="21"/>
                <w:lang w:val="en-US" w:eastAsia="zh-CN"/>
              </w:rPr>
              <w:t>54</w:t>
            </w:r>
          </w:p>
        </w:tc>
        <w:tc>
          <w:tcPr>
            <w:tcW w:w="835"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县水利局</w:t>
            </w:r>
          </w:p>
        </w:tc>
        <w:tc>
          <w:tcPr>
            <w:tcW w:w="1631"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水利基建项</w:t>
            </w:r>
          </w:p>
          <w:p>
            <w:pPr>
              <w:keepNext w:val="0"/>
              <w:keepLines w:val="0"/>
              <w:pageBreakBefore w:val="0"/>
              <w:widowControl w:val="0"/>
              <w:kinsoku/>
              <w:wordWrap/>
              <w:overflowPunct/>
              <w:topLinePunct w:val="0"/>
              <w:autoSpaceDE/>
              <w:autoSpaceDN/>
              <w:bidi w:val="0"/>
              <w:adjustRightInd/>
              <w:snapToGrid/>
              <w:spacing w:line="28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目初步设计</w:t>
            </w:r>
          </w:p>
          <w:p>
            <w:pPr>
              <w:keepNext w:val="0"/>
              <w:keepLines w:val="0"/>
              <w:pageBreakBefore w:val="0"/>
              <w:widowControl w:val="0"/>
              <w:kinsoku/>
              <w:wordWrap/>
              <w:overflowPunct/>
              <w:topLinePunct w:val="0"/>
              <w:autoSpaceDE/>
              <w:autoSpaceDN/>
              <w:bidi w:val="0"/>
              <w:adjustRightInd/>
              <w:snapToGrid/>
              <w:spacing w:line="28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文件审批</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项目初步设计报告及附件</w:t>
            </w:r>
          </w:p>
        </w:tc>
        <w:tc>
          <w:tcPr>
            <w:tcW w:w="748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firstLine="0"/>
              <w:jc w:val="left"/>
              <w:textAlignment w:val="auto"/>
              <w:rPr>
                <w:rFonts w:hint="eastAsia" w:asciiTheme="majorEastAsia" w:hAnsiTheme="majorEastAsia" w:eastAsiaTheme="majorEastAsia" w:cstheme="majorEastAsia"/>
                <w:spacing w:val="6"/>
                <w:sz w:val="21"/>
                <w:szCs w:val="21"/>
                <w:lang w:eastAsia="zh-CN"/>
              </w:rPr>
            </w:pPr>
            <w:r>
              <w:rPr>
                <w:rFonts w:hint="eastAsia" w:asciiTheme="majorEastAsia" w:hAnsiTheme="majorEastAsia" w:eastAsiaTheme="majorEastAsia" w:cstheme="majorEastAsia"/>
                <w:spacing w:val="6"/>
                <w:sz w:val="21"/>
                <w:szCs w:val="21"/>
              </w:rPr>
              <w:t>河南省工程建设项目审批制度改革领导小组办公室《关于印发河南省工程建设项目审批全流程事项清单及审批流程图示范文本的通知》(豫工程改革办〔2019〕2号)附表第34项规定</w:t>
            </w:r>
            <w:r>
              <w:rPr>
                <w:rFonts w:hint="eastAsia" w:asciiTheme="majorEastAsia" w:hAnsiTheme="majorEastAsia" w:eastAsiaTheme="majorEastAsia" w:cstheme="majorEastAsia"/>
                <w:spacing w:val="6"/>
                <w:sz w:val="21"/>
                <w:szCs w:val="21"/>
                <w:lang w:eastAsia="zh-CN"/>
              </w:rPr>
              <w:t>。</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具有相应资质的设计</w:t>
            </w:r>
          </w:p>
          <w:p>
            <w:pPr>
              <w:keepNext w:val="0"/>
              <w:keepLines w:val="0"/>
              <w:pageBreakBefore w:val="0"/>
              <w:widowControl w:val="0"/>
              <w:kinsoku/>
              <w:wordWrap/>
              <w:overflowPunct/>
              <w:topLinePunct w:val="0"/>
              <w:autoSpaceDE/>
              <w:autoSpaceDN/>
              <w:bidi w:val="0"/>
              <w:adjustRightInd/>
              <w:snapToGrid/>
              <w:spacing w:line="28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机构</w:t>
            </w:r>
          </w:p>
        </w:tc>
        <w:tc>
          <w:tcPr>
            <w:tcW w:w="965"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双方协商</w:t>
            </w:r>
          </w:p>
        </w:tc>
        <w:tc>
          <w:tcPr>
            <w:tcW w:w="148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firstLine="0"/>
              <w:jc w:val="center"/>
              <w:textAlignment w:val="auto"/>
              <w:rPr>
                <w:rFonts w:hint="eastAsia" w:asciiTheme="majorEastAsia" w:hAnsiTheme="majorEastAsia" w:eastAsiaTheme="majorEastAsia" w:cstheme="majorEastAsia"/>
                <w:spacing w:val="6"/>
                <w:sz w:val="21"/>
                <w:szCs w:val="21"/>
              </w:rPr>
            </w:pPr>
            <w:r>
              <w:rPr>
                <w:rFonts w:hint="eastAsia" w:asciiTheme="majorEastAsia" w:hAnsiTheme="majorEastAsia" w:eastAsiaTheme="majorEastAsia" w:cstheme="majorEastAsia"/>
                <w:spacing w:val="6"/>
                <w:sz w:val="21"/>
                <w:szCs w:val="21"/>
              </w:rPr>
              <w:t>市场调节价</w:t>
            </w:r>
          </w:p>
        </w:tc>
      </w:tr>
    </w:tbl>
    <w:p>
      <w:pPr>
        <w:bidi w:val="0"/>
        <w:jc w:val="left"/>
        <w:sectPr>
          <w:footerReference r:id="rId4" w:type="default"/>
          <w:pgSz w:w="16832" w:h="11900" w:orient="landscape"/>
          <w:pgMar w:top="850" w:right="680" w:bottom="850" w:left="680" w:header="737" w:footer="1134" w:gutter="0"/>
          <w:pgNumType w:fmt="numberInDash"/>
          <w:cols w:space="0" w:num="1"/>
          <w:rtlGutter w:val="0"/>
          <w:docGrid w:linePitch="0" w:charSpace="0"/>
        </w:sectPr>
      </w:pPr>
    </w:p>
    <w:p>
      <w:pPr>
        <w:keepNext w:val="0"/>
        <w:keepLines w:val="0"/>
        <w:pageBreakBefore w:val="0"/>
        <w:widowControl/>
        <w:suppressLineNumbers w:val="0"/>
        <w:tabs>
          <w:tab w:val="left" w:pos="3848"/>
        </w:tabs>
        <w:kinsoku/>
        <w:wordWrap/>
        <w:overflowPunct/>
        <w:topLinePunct w:val="0"/>
        <w:autoSpaceDE/>
        <w:autoSpaceDN/>
        <w:bidi w:val="0"/>
        <w:adjustRightInd/>
        <w:snapToGrid/>
        <w:spacing w:line="20" w:lineRule="exact"/>
        <w:jc w:val="both"/>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ab/>
      </w:r>
    </w:p>
    <w:p>
      <w:pPr>
        <w:tabs>
          <w:tab w:val="left" w:pos="7268"/>
        </w:tabs>
        <w:bidi w:val="0"/>
        <w:jc w:val="left"/>
        <w:rPr>
          <w:rFonts w:hint="eastAsia" w:ascii="Times New Roman" w:hAnsi="Times New Roman" w:eastAsia="仿宋_GB2312" w:cs="Times New Roman"/>
          <w:kern w:val="2"/>
          <w:sz w:val="32"/>
          <w:szCs w:val="24"/>
          <w:lang w:val="en-US" w:eastAsia="zh-CN" w:bidi="ar-SA"/>
        </w:rPr>
      </w:pPr>
      <w:r>
        <w:rPr>
          <w:rFonts w:hint="eastAsia" w:cs="Times New Roman"/>
          <w:kern w:val="2"/>
          <w:sz w:val="32"/>
          <w:szCs w:val="24"/>
          <w:lang w:val="en-US" w:eastAsia="zh-CN" w:bidi="ar-SA"/>
        </w:rPr>
        <w:tab/>
      </w:r>
    </w:p>
    <w:sectPr>
      <w:headerReference r:id="rId5" w:type="default"/>
      <w:footerReference r:id="rId7" w:type="default"/>
      <w:headerReference r:id="rId6" w:type="even"/>
      <w:footerReference r:id="rId8" w:type="even"/>
      <w:pgSz w:w="16838" w:h="11906" w:orient="landscape"/>
      <w:pgMar w:top="1588" w:right="2098" w:bottom="1474" w:left="1985" w:header="0" w:footer="1588" w:gutter="0"/>
      <w:pgNumType w:fmt="numberInDash" w:start="1"/>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6FF" w:usb1="420024FF" w:usb2="02000000" w:usb3="00000000" w:csb0="2000019F" w:csb1="00000000"/>
  </w:font>
  <w:font w:name="仿宋">
    <w:panose1 w:val="02010609060101010101"/>
    <w:charset w:val="86"/>
    <w:family w:val="roma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仿宋_GB2312"/>
                              <w:lang w:eastAsia="zh-CN"/>
                            </w:rPr>
                          </w:pPr>
                          <w:r>
                            <w:rPr>
                              <w:rFonts w:hint="eastAsia" w:asciiTheme="majorAscii"/>
                              <w:sz w:val="22"/>
                              <w:szCs w:val="22"/>
                              <w:lang w:eastAsia="zh-CN"/>
                            </w:rPr>
                            <w:fldChar w:fldCharType="begin"/>
                          </w:r>
                          <w:r>
                            <w:rPr>
                              <w:rFonts w:hint="eastAsia" w:asciiTheme="majorAscii"/>
                              <w:sz w:val="22"/>
                              <w:szCs w:val="22"/>
                              <w:lang w:eastAsia="zh-CN"/>
                            </w:rPr>
                            <w:instrText xml:space="preserve"> PAGE  \* MERGEFORMAT </w:instrText>
                          </w:r>
                          <w:r>
                            <w:rPr>
                              <w:rFonts w:hint="eastAsia" w:asciiTheme="majorAscii"/>
                              <w:sz w:val="22"/>
                              <w:szCs w:val="22"/>
                              <w:lang w:eastAsia="zh-CN"/>
                            </w:rPr>
                            <w:fldChar w:fldCharType="separate"/>
                          </w:r>
                          <w:r>
                            <w:rPr>
                              <w:rFonts w:hint="eastAsia" w:asciiTheme="majorAscii"/>
                              <w:sz w:val="22"/>
                              <w:szCs w:val="22"/>
                              <w:lang w:eastAsia="zh-CN"/>
                            </w:rPr>
                            <w:t>- 1 -</w:t>
                          </w:r>
                          <w:r>
                            <w:rPr>
                              <w:rFonts w:hint="eastAsia" w:asciiTheme="majorAscii"/>
                              <w:sz w:val="22"/>
                              <w:szCs w:val="2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eastAsia="仿宋_GB2312"/>
                        <w:lang w:eastAsia="zh-CN"/>
                      </w:rPr>
                    </w:pPr>
                    <w:r>
                      <w:rPr>
                        <w:rFonts w:hint="eastAsia" w:asciiTheme="majorAscii"/>
                        <w:sz w:val="22"/>
                        <w:szCs w:val="22"/>
                        <w:lang w:eastAsia="zh-CN"/>
                      </w:rPr>
                      <w:fldChar w:fldCharType="begin"/>
                    </w:r>
                    <w:r>
                      <w:rPr>
                        <w:rFonts w:hint="eastAsia" w:asciiTheme="majorAscii"/>
                        <w:sz w:val="22"/>
                        <w:szCs w:val="22"/>
                        <w:lang w:eastAsia="zh-CN"/>
                      </w:rPr>
                      <w:instrText xml:space="preserve"> PAGE  \* MERGEFORMAT </w:instrText>
                    </w:r>
                    <w:r>
                      <w:rPr>
                        <w:rFonts w:hint="eastAsia" w:asciiTheme="majorAscii"/>
                        <w:sz w:val="22"/>
                        <w:szCs w:val="22"/>
                        <w:lang w:eastAsia="zh-CN"/>
                      </w:rPr>
                      <w:fldChar w:fldCharType="separate"/>
                    </w:r>
                    <w:r>
                      <w:rPr>
                        <w:rFonts w:hint="eastAsia" w:asciiTheme="majorAscii"/>
                        <w:sz w:val="22"/>
                        <w:szCs w:val="22"/>
                        <w:lang w:eastAsia="zh-CN"/>
                      </w:rPr>
                      <w:t>- 1 -</w:t>
                    </w:r>
                    <w:r>
                      <w:rPr>
                        <w:rFonts w:hint="eastAsia" w:asciiTheme="majorAscii"/>
                        <w:sz w:val="22"/>
                        <w:szCs w:val="22"/>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rPr>
        <w:rFonts w:hint="eastAsia"/>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t>- 2 -</w:t>
                          </w:r>
                          <w:r>
                            <w:rPr>
                              <w:rFonts w:hint="eastAsia" w:ascii="宋体" w:hAnsi="宋体" w:eastAsia="宋体" w:cs="宋体"/>
                              <w:sz w:val="24"/>
                              <w:szCs w:val="24"/>
                              <w:lang w:eastAsia="zh-CN"/>
                            </w:rPr>
                            <w:fldChar w:fldCharType="end"/>
                          </w:r>
                          <w:r>
                            <w:rPr>
                              <w:rFonts w:hint="eastAsia" w:ascii="宋体" w:hAnsi="宋体" w:eastAsia="宋体" w:cs="宋体"/>
                              <w:sz w:val="24"/>
                              <w:szCs w:val="24"/>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t>- 2 -</w:t>
                    </w:r>
                    <w:r>
                      <w:rPr>
                        <w:rFonts w:hint="eastAsia" w:ascii="宋体" w:hAnsi="宋体" w:eastAsia="宋体" w:cs="宋体"/>
                        <w:sz w:val="24"/>
                        <w:szCs w:val="24"/>
                        <w:lang w:eastAsia="zh-CN"/>
                      </w:rPr>
                      <w:fldChar w:fldCharType="end"/>
                    </w:r>
                    <w:r>
                      <w:rPr>
                        <w:rFonts w:hint="eastAsia" w:ascii="宋体" w:hAnsi="宋体" w:eastAsia="宋体" w:cs="宋体"/>
                        <w:sz w:val="24"/>
                        <w:szCs w:val="24"/>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F1C8EF"/>
    <w:multiLevelType w:val="singleLevel"/>
    <w:tmpl w:val="ABF1C8EF"/>
    <w:lvl w:ilvl="0" w:tentative="0">
      <w:start w:val="1"/>
      <w:numFmt w:val="decimal"/>
      <w:lvlText w:val="%1."/>
      <w:lvlJc w:val="left"/>
      <w:pPr>
        <w:tabs>
          <w:tab w:val="left" w:pos="312"/>
        </w:tabs>
      </w:pPr>
    </w:lvl>
  </w:abstractNum>
  <w:abstractNum w:abstractNumId="1">
    <w:nsid w:val="40D73DF1"/>
    <w:multiLevelType w:val="singleLevel"/>
    <w:tmpl w:val="40D73DF1"/>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attachedTemplate r:id="rId1"/>
  <w:documentProtection w:enforcement="0"/>
  <w:defaultTabStop w:val="420"/>
  <w:hyphenationZone w:val="360"/>
  <w:drawingGridHorizontalSpacing w:val="158"/>
  <w:drawingGridVerticalSpacing w:val="57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1YmNiODRiZTk2YjIzMGNmOTk3NTY1NzU4NzJhZGEifQ=="/>
  </w:docVars>
  <w:rsids>
    <w:rsidRoot w:val="74D65990"/>
    <w:rsid w:val="000039D4"/>
    <w:rsid w:val="000276BC"/>
    <w:rsid w:val="00041953"/>
    <w:rsid w:val="000A4D35"/>
    <w:rsid w:val="000D7D21"/>
    <w:rsid w:val="00103DB2"/>
    <w:rsid w:val="0011432A"/>
    <w:rsid w:val="001324B8"/>
    <w:rsid w:val="0014186F"/>
    <w:rsid w:val="001834A4"/>
    <w:rsid w:val="00185447"/>
    <w:rsid w:val="001A5356"/>
    <w:rsid w:val="002B5A4B"/>
    <w:rsid w:val="002C0553"/>
    <w:rsid w:val="002F6C53"/>
    <w:rsid w:val="00340E92"/>
    <w:rsid w:val="003B405D"/>
    <w:rsid w:val="003F102B"/>
    <w:rsid w:val="00400A31"/>
    <w:rsid w:val="00493172"/>
    <w:rsid w:val="004D0A57"/>
    <w:rsid w:val="005148EC"/>
    <w:rsid w:val="0051782D"/>
    <w:rsid w:val="00572679"/>
    <w:rsid w:val="005E18A9"/>
    <w:rsid w:val="00642CB2"/>
    <w:rsid w:val="00663EE8"/>
    <w:rsid w:val="006851EE"/>
    <w:rsid w:val="006C233C"/>
    <w:rsid w:val="006D7970"/>
    <w:rsid w:val="006E1935"/>
    <w:rsid w:val="00700EDE"/>
    <w:rsid w:val="00804D24"/>
    <w:rsid w:val="00804E9D"/>
    <w:rsid w:val="00810421"/>
    <w:rsid w:val="00862BE4"/>
    <w:rsid w:val="008F5070"/>
    <w:rsid w:val="00952A15"/>
    <w:rsid w:val="009D0BD8"/>
    <w:rsid w:val="00A00344"/>
    <w:rsid w:val="00A37AA9"/>
    <w:rsid w:val="00A7789D"/>
    <w:rsid w:val="00AC3A9A"/>
    <w:rsid w:val="00AC7494"/>
    <w:rsid w:val="00C57B5F"/>
    <w:rsid w:val="00D84F04"/>
    <w:rsid w:val="00DB5ED4"/>
    <w:rsid w:val="00E12C34"/>
    <w:rsid w:val="00FF4671"/>
    <w:rsid w:val="017413F1"/>
    <w:rsid w:val="03DD3BE6"/>
    <w:rsid w:val="083F2BD9"/>
    <w:rsid w:val="08D34067"/>
    <w:rsid w:val="08E25FED"/>
    <w:rsid w:val="095742E5"/>
    <w:rsid w:val="09EB2C7F"/>
    <w:rsid w:val="0A165F4E"/>
    <w:rsid w:val="0A8C3A68"/>
    <w:rsid w:val="0D384070"/>
    <w:rsid w:val="0E7B6F5E"/>
    <w:rsid w:val="0F9C5DB3"/>
    <w:rsid w:val="128B7217"/>
    <w:rsid w:val="12E50797"/>
    <w:rsid w:val="16A62803"/>
    <w:rsid w:val="18687135"/>
    <w:rsid w:val="1DB61BE4"/>
    <w:rsid w:val="200F37D4"/>
    <w:rsid w:val="21A76846"/>
    <w:rsid w:val="21E870F0"/>
    <w:rsid w:val="23BC15A0"/>
    <w:rsid w:val="242D4168"/>
    <w:rsid w:val="249915E3"/>
    <w:rsid w:val="2CC83F94"/>
    <w:rsid w:val="2D303F0B"/>
    <w:rsid w:val="2F3B6D58"/>
    <w:rsid w:val="321748CA"/>
    <w:rsid w:val="33DB773D"/>
    <w:rsid w:val="37860BDC"/>
    <w:rsid w:val="382D0E39"/>
    <w:rsid w:val="38AF4383"/>
    <w:rsid w:val="3BAF6F0A"/>
    <w:rsid w:val="3CC50F8A"/>
    <w:rsid w:val="3F854A01"/>
    <w:rsid w:val="40864C7E"/>
    <w:rsid w:val="415703E9"/>
    <w:rsid w:val="426279EA"/>
    <w:rsid w:val="42696553"/>
    <w:rsid w:val="42B43628"/>
    <w:rsid w:val="45F8437E"/>
    <w:rsid w:val="46020B59"/>
    <w:rsid w:val="4771171D"/>
    <w:rsid w:val="492D76B9"/>
    <w:rsid w:val="498D1081"/>
    <w:rsid w:val="49BA7BED"/>
    <w:rsid w:val="50F90C33"/>
    <w:rsid w:val="51BC0756"/>
    <w:rsid w:val="5721105B"/>
    <w:rsid w:val="576E6376"/>
    <w:rsid w:val="584C6006"/>
    <w:rsid w:val="58DB5D64"/>
    <w:rsid w:val="59DD706E"/>
    <w:rsid w:val="5B3D1E26"/>
    <w:rsid w:val="5BC85F49"/>
    <w:rsid w:val="5C5D5B46"/>
    <w:rsid w:val="5C6005D1"/>
    <w:rsid w:val="5D7150BF"/>
    <w:rsid w:val="5D945587"/>
    <w:rsid w:val="5F151F91"/>
    <w:rsid w:val="5F80580C"/>
    <w:rsid w:val="6109328C"/>
    <w:rsid w:val="613E0D54"/>
    <w:rsid w:val="61EB644A"/>
    <w:rsid w:val="61F6389B"/>
    <w:rsid w:val="631C6192"/>
    <w:rsid w:val="64930B1C"/>
    <w:rsid w:val="6661508E"/>
    <w:rsid w:val="68250092"/>
    <w:rsid w:val="6833453C"/>
    <w:rsid w:val="68AA2CE4"/>
    <w:rsid w:val="68F221BD"/>
    <w:rsid w:val="6AA408C3"/>
    <w:rsid w:val="6B1271E1"/>
    <w:rsid w:val="6B335B8D"/>
    <w:rsid w:val="6DBF7472"/>
    <w:rsid w:val="6F4317B5"/>
    <w:rsid w:val="6F5A3020"/>
    <w:rsid w:val="73315249"/>
    <w:rsid w:val="73C6500C"/>
    <w:rsid w:val="73FC2680"/>
    <w:rsid w:val="74A215D5"/>
    <w:rsid w:val="74D65990"/>
    <w:rsid w:val="78340796"/>
    <w:rsid w:val="792C5912"/>
    <w:rsid w:val="7A1F1CE3"/>
    <w:rsid w:val="7C31324D"/>
    <w:rsid w:val="7F6742F2"/>
    <w:rsid w:val="7FAC27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semiHidden/>
    <w:qFormat/>
    <w:uiPriority w:val="99"/>
    <w:pPr>
      <w:spacing w:after="120"/>
    </w:pPr>
  </w:style>
  <w:style w:type="paragraph" w:customStyle="1" w:styleId="3">
    <w:name w:val="Body Text 21"/>
    <w:basedOn w:val="1"/>
    <w:qFormat/>
    <w:uiPriority w:val="99"/>
    <w:pPr>
      <w:adjustRightInd w:val="0"/>
      <w:spacing w:line="360" w:lineRule="auto"/>
      <w:textAlignment w:val="baseline"/>
    </w:pPr>
    <w:rPr>
      <w:rFonts w:ascii="楷体_GB2312" w:hAnsi="Times New Roman" w:eastAsia="楷体_GB2312" w:cs="楷体_GB2312"/>
      <w:kern w:val="44"/>
      <w:sz w:val="28"/>
      <w:szCs w:val="28"/>
    </w:r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paragraph" w:customStyle="1" w:styleId="12">
    <w:name w:val="Char"/>
    <w:basedOn w:val="1"/>
    <w:qFormat/>
    <w:uiPriority w:val="0"/>
    <w:rPr>
      <w:rFonts w:eastAsia="仿宋_GB2312"/>
      <w:sz w:val="32"/>
      <w:szCs w:val="32"/>
    </w:rPr>
  </w:style>
  <w:style w:type="character" w:customStyle="1" w:styleId="13">
    <w:name w:val="font61"/>
    <w:basedOn w:val="10"/>
    <w:qFormat/>
    <w:uiPriority w:val="0"/>
    <w:rPr>
      <w:rFonts w:hint="eastAsia" w:ascii="微软雅黑" w:hAnsi="微软雅黑" w:eastAsia="微软雅黑" w:cs="微软雅黑"/>
      <w:color w:val="000000"/>
      <w:sz w:val="20"/>
      <w:szCs w:val="20"/>
      <w:u w:val="none"/>
    </w:rPr>
  </w:style>
  <w:style w:type="character" w:customStyle="1" w:styleId="14">
    <w:name w:val="font71"/>
    <w:basedOn w:val="10"/>
    <w:qFormat/>
    <w:uiPriority w:val="0"/>
    <w:rPr>
      <w:rFonts w:hint="default" w:ascii="Times New Roman" w:hAnsi="Times New Roman" w:cs="Times New Roman"/>
      <w:color w:val="000000"/>
      <w:sz w:val="20"/>
      <w:szCs w:val="20"/>
      <w:u w:val="none"/>
    </w:rPr>
  </w:style>
  <w:style w:type="character" w:customStyle="1" w:styleId="15">
    <w:name w:val="font51"/>
    <w:basedOn w:val="10"/>
    <w:qFormat/>
    <w:uiPriority w:val="0"/>
    <w:rPr>
      <w:rFonts w:hint="eastAsia" w:ascii="微软雅黑" w:hAnsi="微软雅黑" w:eastAsia="微软雅黑" w:cs="微软雅黑"/>
      <w:color w:val="000000"/>
      <w:sz w:val="20"/>
      <w:szCs w:val="20"/>
      <w:u w:val="none"/>
    </w:rPr>
  </w:style>
  <w:style w:type="character" w:customStyle="1" w:styleId="16">
    <w:name w:val="font81"/>
    <w:basedOn w:val="10"/>
    <w:qFormat/>
    <w:uiPriority w:val="0"/>
    <w:rPr>
      <w:rFonts w:hint="eastAsia" w:ascii="微软雅黑" w:hAnsi="微软雅黑" w:eastAsia="微软雅黑" w:cs="微软雅黑"/>
      <w:color w:val="000000"/>
      <w:sz w:val="20"/>
      <w:szCs w:val="20"/>
      <w:u w:val="none"/>
    </w:rPr>
  </w:style>
  <w:style w:type="character" w:customStyle="1" w:styleId="17">
    <w:name w:val="font91"/>
    <w:basedOn w:val="10"/>
    <w:qFormat/>
    <w:uiPriority w:val="0"/>
    <w:rPr>
      <w:rFonts w:hint="default" w:ascii="Times New Roman" w:hAnsi="Times New Roman" w:cs="Times New Roman"/>
      <w:color w:val="000000"/>
      <w:sz w:val="20"/>
      <w:szCs w:val="20"/>
      <w:u w:val="none"/>
    </w:rPr>
  </w:style>
  <w:style w:type="character" w:customStyle="1" w:styleId="18">
    <w:name w:val="font101"/>
    <w:basedOn w:val="10"/>
    <w:qFormat/>
    <w:uiPriority w:val="0"/>
    <w:rPr>
      <w:rFonts w:hint="default" w:ascii="Times New Roman" w:hAnsi="Times New Roman" w:cs="Times New Roman"/>
      <w:color w:val="000000"/>
      <w:sz w:val="20"/>
      <w:szCs w:val="20"/>
      <w:u w:val="none"/>
    </w:rPr>
  </w:style>
  <w:style w:type="character" w:customStyle="1" w:styleId="19">
    <w:name w:val="font21"/>
    <w:basedOn w:val="10"/>
    <w:qFormat/>
    <w:uiPriority w:val="0"/>
    <w:rPr>
      <w:rFonts w:hint="eastAsia" w:ascii="微软雅黑" w:hAnsi="微软雅黑" w:eastAsia="微软雅黑" w:cs="微软雅黑"/>
      <w:b/>
      <w:bCs/>
      <w:color w:val="000000"/>
      <w:sz w:val="32"/>
      <w:szCs w:val="32"/>
      <w:u w:val="none"/>
    </w:rPr>
  </w:style>
  <w:style w:type="character" w:customStyle="1" w:styleId="20">
    <w:name w:val="font41"/>
    <w:basedOn w:val="10"/>
    <w:qFormat/>
    <w:uiPriority w:val="0"/>
    <w:rPr>
      <w:rFonts w:hint="eastAsia" w:ascii="微软雅黑" w:hAnsi="微软雅黑" w:eastAsia="微软雅黑" w:cs="微软雅黑"/>
      <w:color w:val="000000"/>
      <w:sz w:val="20"/>
      <w:szCs w:val="20"/>
      <w:u w:val="none"/>
    </w:rPr>
  </w:style>
  <w:style w:type="table" w:customStyle="1" w:styleId="21">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0013;&#24515;&#25991;&#20214;\&#25991;&#20214;&#22836;&#27169;&#26495;\&#20013;&#24515;&#25991;&#20214;&#22836;.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中心文件头.dot</Template>
  <Pages>118</Pages>
  <Words>75427</Words>
  <Characters>77257</Characters>
  <Lines>1</Lines>
  <Paragraphs>1</Paragraphs>
  <TotalTime>30</TotalTime>
  <ScaleCrop>false</ScaleCrop>
  <LinksUpToDate>false</LinksUpToDate>
  <CharactersWithSpaces>581</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2018-12-30T03:46:00Z</dcterms:created>
  <dc:creator>陵少</dc:creator>
  <cp:lastModifiedBy>Administrator</cp:lastModifiedBy>
  <cp:lastPrinted>2023-12-26T03:41:00Z</cp:lastPrinted>
  <dcterms:modified xsi:type="dcterms:W3CDTF">2023-12-27T02:03:52Z</dcterms:modified>
  <dc:title>教办〔2010〕18号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88B163756D314C5F8CFE9406B707DD5B_13</vt:lpwstr>
  </property>
</Properties>
</file>