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jc w:val="center"/>
        <w:shd w:val="clear" w:color="auto" w:fill="auto"/>
        <w:tblLayout w:type="autofit"/>
        <w:tblCellMar>
          <w:top w:w="0" w:type="dxa"/>
          <w:left w:w="0" w:type="dxa"/>
          <w:bottom w:w="0" w:type="dxa"/>
          <w:right w:w="0" w:type="dxa"/>
        </w:tblCellMar>
      </w:tblPr>
      <w:tblGrid>
        <w:gridCol w:w="14570"/>
      </w:tblGrid>
      <w:tr>
        <w:tblPrEx>
          <w:tblCellMar>
            <w:top w:w="0" w:type="dxa"/>
            <w:left w:w="0" w:type="dxa"/>
            <w:bottom w:w="0" w:type="dxa"/>
            <w:right w:w="0" w:type="dxa"/>
          </w:tblCellMar>
        </w:tblPrEx>
        <w:trPr>
          <w:jc w:val="center"/>
        </w:trPr>
        <w:tc>
          <w:tcPr>
            <w:tcW w:w="0" w:type="auto"/>
            <w:shd w:val="clear" w:color="auto" w:fill="auto"/>
            <w:vAlign w:val="center"/>
          </w:tcPr>
          <w:p>
            <w:pPr>
              <w:keepNext w:val="0"/>
              <w:keepLines w:val="0"/>
              <w:widowControl/>
              <w:suppressLineNumbers w:val="0"/>
              <w:spacing w:line="21" w:lineRule="atLeast"/>
              <w:jc w:val="center"/>
              <w:rPr>
                <w:rFonts w:ascii="微软雅黑" w:hAnsi="微软雅黑" w:eastAsia="微软雅黑" w:cs="微软雅黑"/>
                <w:b/>
                <w:color w:val="3D3D3D"/>
                <w:sz w:val="33"/>
                <w:szCs w:val="33"/>
              </w:rPr>
            </w:pPr>
            <w:r>
              <w:rPr>
                <w:rFonts w:hint="eastAsia" w:ascii="微软雅黑" w:hAnsi="微软雅黑" w:eastAsia="微软雅黑" w:cs="微软雅黑"/>
                <w:b/>
                <w:color w:val="3D3D3D"/>
                <w:kern w:val="0"/>
                <w:sz w:val="33"/>
                <w:szCs w:val="33"/>
                <w:lang w:val="en-US" w:eastAsia="zh-CN" w:bidi="ar"/>
              </w:rPr>
              <w:t>【公共文化服务领域】基层政务公开标准目录</w:t>
            </w:r>
          </w:p>
        </w:tc>
      </w:tr>
      <w:tr>
        <w:tblPrEx>
          <w:shd w:val="clear" w:color="auto" w:fill="auto"/>
          <w:tblCellMar>
            <w:top w:w="0" w:type="dxa"/>
            <w:left w:w="0" w:type="dxa"/>
            <w:bottom w:w="0" w:type="dxa"/>
            <w:right w:w="0" w:type="dxa"/>
          </w:tblCellMar>
        </w:tblPrEx>
        <w:trPr>
          <w:jc w:val="center"/>
        </w:trPr>
        <w:tc>
          <w:tcPr>
            <w:tcW w:w="0" w:type="auto"/>
            <w:shd w:val="clear" w:color="auto" w:fill="auto"/>
            <w:vAlign w:val="center"/>
          </w:tcPr>
          <w:tbl>
            <w:tblPr>
              <w:tblStyle w:val="3"/>
              <w:tblW w:w="1394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06"/>
              <w:gridCol w:w="640"/>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序号</w:t>
                  </w:r>
                </w:p>
              </w:tc>
              <w:tc>
                <w:tcPr>
                  <w:tcW w:w="149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公开事项</w:t>
                  </w:r>
                </w:p>
              </w:tc>
              <w:tc>
                <w:tcPr>
                  <w:tcW w:w="22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公开内容（要素）</w:t>
                  </w:r>
                </w:p>
              </w:tc>
              <w:tc>
                <w:tcPr>
                  <w:tcW w:w="1332"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公开依据</w:t>
                  </w:r>
                </w:p>
              </w:tc>
              <w:tc>
                <w:tcPr>
                  <w:tcW w:w="1426"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公开时限</w:t>
                  </w:r>
                </w:p>
              </w:tc>
              <w:tc>
                <w:tcPr>
                  <w:tcW w:w="1158"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公开主体</w:t>
                  </w:r>
                </w:p>
              </w:tc>
              <w:tc>
                <w:tcPr>
                  <w:tcW w:w="21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公开渠道和载体</w:t>
                  </w:r>
                </w:p>
              </w:tc>
              <w:tc>
                <w:tcPr>
                  <w:tcW w:w="1248"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公开对象</w:t>
                  </w:r>
                </w:p>
              </w:tc>
              <w:tc>
                <w:tcPr>
                  <w:tcW w:w="1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公开方式</w:t>
                  </w:r>
                </w:p>
              </w:tc>
              <w:tc>
                <w:tcPr>
                  <w:tcW w:w="132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6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一级事项</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二级事项</w:t>
                  </w:r>
                </w:p>
              </w:tc>
              <w:tc>
                <w:tcPr>
                  <w:tcW w:w="22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1332"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1426"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1158"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21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全社会</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特定群众</w:t>
                  </w: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主动</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依申请公开</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县级</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b w:val="0"/>
                      <w:color w:val="333333"/>
                      <w:sz w:val="22"/>
                      <w:szCs w:val="22"/>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 许可</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互联网上网服务营业场所经营许可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 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《行政许可法》、《政府信息公开条例》、《互联网上网服务营业场所管理条例》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Theme="minorEastAsia"/>
                      <w:sz w:val="21"/>
                      <w:szCs w:val="21"/>
                      <w:lang w:eastAsia="zh-CN"/>
                    </w:rPr>
                  </w:pPr>
                  <w:r>
                    <w:rPr>
                      <w:rFonts w:hint="eastAsia" w:eastAsiaTheme="minorEastAsia"/>
                      <w:sz w:val="21"/>
                      <w:szCs w:val="21"/>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2</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文艺表演团体设立审批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《行政许可法》、《政府信息公开条例》、《营业性演出管理条例》、《文化部关于落实“先照后证”改进文化市场行政审批工作的通知》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jc w:val="left"/>
                    <w:rPr>
                      <w:sz w:val="21"/>
                      <w:szCs w:val="21"/>
                    </w:rPr>
                  </w:pPr>
                  <w:r>
                    <w:rPr>
                      <w:rFonts w:hint="eastAsia" w:ascii="宋体" w:hAnsi="宋体" w:eastAsia="宋体" w:cs="宋体"/>
                      <w:b w:val="0"/>
                      <w:color w:val="333333"/>
                      <w:sz w:val="18"/>
                      <w:szCs w:val="18"/>
                    </w:rPr>
                    <w:t>■政务服务中心</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3</w:t>
                  </w:r>
                </w:p>
              </w:tc>
              <w:tc>
                <w:tcPr>
                  <w:tcW w:w="6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许可</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营业性演出审批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同上</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■政务服务中心</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4</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娱乐场所经营许可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 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■政务服务中心</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5</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县级文物保护单位保护范围内其他建设工程或者爆破、钻探、挖掘等作业审批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6</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县级文物保护单位建设控制地带内建设工程设计方案审批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 xml:space="preserve"> 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7</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县级文物保护单位实施原址保护措施审批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8</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许可</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县级文物保护单位和未核定为文物保护单位的不可移动文物修缮审批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9</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核定为县级文物保护单位的属于国家所有的纪念建筑物或者古建筑改变用途审批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10</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非国有文物收藏单位和其他单位举办展览需借用国有馆藏二级以下文物审批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2"/>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11</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对互联网上网服务营业场所违法行为的行政处罚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12</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对娱乐场所违法行为的行政处罚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13</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对营业性演出违法行为的行政处罚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14</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对艺术品经营违法行为的行政处罚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1</w:t>
                  </w:r>
                  <w:r>
                    <w:rPr>
                      <w:rFonts w:hint="eastAsia" w:ascii="宋体" w:hAnsi="宋体" w:eastAsia="宋体" w:cs="宋体"/>
                      <w:b w:val="0"/>
                      <w:color w:val="333333"/>
                      <w:sz w:val="18"/>
                      <w:szCs w:val="18"/>
                      <w:lang w:val="en-US" w:eastAsia="zh-CN"/>
                    </w:rPr>
                    <w:t>5</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对社会艺术水平考级活动违法行为的行政处罚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1</w:t>
                  </w:r>
                  <w:r>
                    <w:rPr>
                      <w:rFonts w:hint="eastAsia" w:ascii="宋体" w:hAnsi="宋体" w:eastAsia="宋体" w:cs="宋体"/>
                      <w:b w:val="0"/>
                      <w:color w:val="333333"/>
                      <w:sz w:val="18"/>
                      <w:szCs w:val="18"/>
                      <w:lang w:val="en-US" w:eastAsia="zh-CN"/>
                    </w:rPr>
                    <w:t>6</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对互联网文化单位违法行为的行政处罚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1</w:t>
                  </w:r>
                  <w:r>
                    <w:rPr>
                      <w:rFonts w:hint="eastAsia" w:ascii="宋体" w:hAnsi="宋体" w:eastAsia="宋体" w:cs="宋体"/>
                      <w:b w:val="0"/>
                      <w:color w:val="333333"/>
                      <w:sz w:val="18"/>
                      <w:szCs w:val="18"/>
                      <w:lang w:val="en-US" w:eastAsia="zh-CN"/>
                    </w:rPr>
                    <w:t>7</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对擅自在文物保护单位的保护范围内进行建设工程或者爆破、钻探、挖掘等作业的行为进行处罚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 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1</w:t>
                  </w:r>
                  <w:r>
                    <w:rPr>
                      <w:rFonts w:hint="eastAsia" w:ascii="宋体" w:hAnsi="宋体" w:eastAsia="宋体" w:cs="宋体"/>
                      <w:b w:val="0"/>
                      <w:color w:val="333333"/>
                      <w:sz w:val="18"/>
                      <w:szCs w:val="18"/>
                      <w:lang w:val="en-US" w:eastAsia="zh-CN"/>
                    </w:rPr>
                    <w:t>8</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numPr>
                      <w:ilvl w:val="0"/>
                      <w:numId w:val="1"/>
                    </w:numPr>
                    <w:suppressLineNumbers w:val="0"/>
                    <w:spacing w:line="240" w:lineRule="atLeast"/>
                    <w:jc w:val="left"/>
                    <w:rPr>
                      <w:sz w:val="21"/>
                      <w:szCs w:val="21"/>
                    </w:rPr>
                  </w:pPr>
                  <w:r>
                    <w:rPr>
                      <w:rFonts w:hint="eastAsia" w:ascii="宋体" w:hAnsi="宋体" w:eastAsia="宋体" w:cs="宋体"/>
                      <w:b w:val="0"/>
                      <w:color w:val="333333"/>
                      <w:sz w:val="18"/>
                      <w:szCs w:val="18"/>
                    </w:rPr>
                    <w:t>主体信息； 2.案由；</w:t>
                  </w:r>
                </w:p>
                <w:p>
                  <w:pPr>
                    <w:pStyle w:val="2"/>
                    <w:keepNext w:val="0"/>
                    <w:keepLines w:val="0"/>
                    <w:widowControl/>
                    <w:numPr>
                      <w:ilvl w:val="0"/>
                      <w:numId w:val="0"/>
                    </w:numPr>
                    <w:suppressLineNumbers w:val="0"/>
                    <w:spacing w:line="240" w:lineRule="atLeast"/>
                    <w:ind w:right="0" w:rightChars="0"/>
                    <w:jc w:val="left"/>
                    <w:rPr>
                      <w:sz w:val="21"/>
                      <w:szCs w:val="21"/>
                    </w:rPr>
                  </w:pP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19</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对擅自迁移、拆除不可移动文物的行为进行处罚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 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0</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对擅自修缮不可移动文物，明显改变文物原状的行为进行处罚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1</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对擅自在原址重建已全部毁坏的不可移动文物，造成文物破坏的行为进行处罚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2</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对施工单位未取得文物保护工程资质证书，擅自从事文物修缮、迁移、重建的行为进行处罚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3</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对转让或者抵押国有不可移动文物的行为进行处罚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4</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对将国有不可移动文物作为企业资产经营的行为进行处罚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5</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对将非国有不可移动文物转让或者抵押给外国人的行为进行处罚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6</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对擅自改变国有文物保护单位用途的行为进行处罚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文物行政部门</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7</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对文物收藏单位未按照国家有关规定配备防火、防盗、防自然损坏的设施的行为进行处罚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2</w:t>
                  </w:r>
                  <w:r>
                    <w:rPr>
                      <w:rFonts w:hint="eastAsia" w:ascii="宋体" w:hAnsi="宋体" w:eastAsia="宋体" w:cs="宋体"/>
                      <w:b w:val="0"/>
                      <w:color w:val="333333"/>
                      <w:sz w:val="18"/>
                      <w:szCs w:val="18"/>
                      <w:lang w:val="en-US" w:eastAsia="zh-CN"/>
                    </w:rPr>
                    <w:t>8</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对国有文物收藏单位法定代表人离任时未按照馆藏文物档案移交馆藏文物，或者所移交的馆藏文物与馆藏文物档案不符的行为进行处罚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29</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对将国有馆藏文物赠与、出租或者出售给其他单位、个人的行为进行处罚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 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0</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对违法借用、交换、处置国有馆藏文物的行为进行处罚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1</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对违法挪用或者侵占依法调拨、交换、出借文物所得补偿费用的行为进行处罚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2</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对发现文物隐匿不报，或者拒不上交的行为进行处罚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3</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对未按照规定移交拣选文物的行为进行处罚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4</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对未取得相应等级的文物保护工程资质证书，擅自承担文物保护单位的修缮、迁移、重建工程逾期不改正，或者造成严重后果的行为进行处罚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sz w:val="21"/>
                      <w:szCs w:val="21"/>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5</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处罚</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对未取得资质证书，擅自从事馆藏文物的修复、复制、拓印活动的行为进行处罚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6</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对擅自修复、复制、拓印馆藏珍贵文物的行为进行处罚</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3.处罚依据；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4.处罚结果。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执法决定信息在决定作出之日起7个工作日内公开，其他相关信息形成或变更之日起20个工作日内公开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7</w:t>
                  </w:r>
                </w:p>
              </w:tc>
              <w:tc>
                <w:tcPr>
                  <w:tcW w:w="6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强制</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对擅自从事互联网上网服务经营活动场所的查封，专用工具、设备的扣押</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1.主体信息；</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2.案由；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3.处理依据；</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4.处理结果。</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■政府网站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3</w:t>
                  </w:r>
                  <w:r>
                    <w:rPr>
                      <w:rFonts w:hint="eastAsia" w:ascii="宋体" w:hAnsi="宋体" w:eastAsia="宋体" w:cs="宋体"/>
                      <w:b w:val="0"/>
                      <w:color w:val="333333"/>
                      <w:sz w:val="18"/>
                      <w:szCs w:val="18"/>
                      <w:lang w:val="en-US" w:eastAsia="zh-CN"/>
                    </w:rPr>
                    <w:t>8</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公共文化机构免费开放信息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内乡县文广旅局、图书馆、文化馆、新华书店</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39</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特殊群体公共文化服务信息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《残疾人保障法》、《政府信息公开条例》、《中共中央办公厅   国务院办公厅印发关于加快构建现代公共文化服务体系的意见》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0</w:t>
                  </w:r>
                </w:p>
              </w:tc>
              <w:tc>
                <w:tcPr>
                  <w:tcW w:w="6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组织开展群众文化活动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1</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下基层辅导、演出、展览和指导基层群众文化活动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2</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举办各类展览、讲座信息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3</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辅导和培训基层文化骨干</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1.培训时间；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2.培训单位；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3.培训地址；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4</w:t>
                  </w:r>
                </w:p>
              </w:tc>
              <w:tc>
                <w:tcPr>
                  <w:tcW w:w="6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非物质文化遗产展示传播活动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2.组织单位；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《非物质文化遗产法》、《政府信息公开条例》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bookmarkStart w:id="0" w:name="_GoBack"/>
                  <w:bookmarkEnd w:id="0"/>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50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rPr>
                    <w:t>4</w:t>
                  </w:r>
                  <w:r>
                    <w:rPr>
                      <w:rFonts w:hint="eastAsia" w:ascii="宋体" w:hAnsi="宋体" w:eastAsia="宋体" w:cs="宋体"/>
                      <w:b w:val="0"/>
                      <w:color w:val="333333"/>
                      <w:sz w:val="18"/>
                      <w:szCs w:val="18"/>
                      <w:lang w:val="en-US" w:eastAsia="zh-CN"/>
                    </w:rPr>
                    <w:t>5</w:t>
                  </w:r>
                </w:p>
              </w:tc>
              <w:tc>
                <w:tcPr>
                  <w:tcW w:w="6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文博单位名录</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文物保护管理机构和博物馆名录</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eastAsia="zh-CN"/>
                    </w:rPr>
                    <w:t>内乡县文广旅局</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bl>
          <w:p>
            <w:pPr>
              <w:spacing w:line="240" w:lineRule="atLeast"/>
              <w:rPr>
                <w:rFonts w:hint="eastAsia" w:ascii="微软雅黑" w:hAnsi="微软雅黑" w:eastAsia="微软雅黑" w:cs="微软雅黑"/>
                <w:b w:val="0"/>
                <w:color w:val="3D3D3D"/>
                <w:sz w:val="21"/>
                <w:szCs w:val="21"/>
                <w:u w:val="none"/>
              </w:rPr>
            </w:pPr>
          </w:p>
        </w:tc>
      </w:tr>
    </w:tbl>
    <w:p/>
    <w:sectPr>
      <w:pgSz w:w="16838" w:h="11906" w:orient="landscape"/>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F5C93"/>
    <w:multiLevelType w:val="singleLevel"/>
    <w:tmpl w:val="DCBF5C9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12D35"/>
    <w:rsid w:val="2705488D"/>
    <w:rsid w:val="28466596"/>
    <w:rsid w:val="3B3737E4"/>
    <w:rsid w:val="4BFC48D7"/>
    <w:rsid w:val="521A3AE6"/>
    <w:rsid w:val="57F12D35"/>
    <w:rsid w:val="DCFD25FF"/>
    <w:rsid w:val="FF6A20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2020-06-24T16:58:00Z</dcterms:created>
  <dc:creator>riteday</dc:creator>
  <cp:lastModifiedBy>kylin</cp:lastModifiedBy>
  <cp:lastPrinted>2020-06-30T17:34:00Z</cp:lastPrinted>
  <dcterms:modified xsi:type="dcterms:W3CDTF">2024-01-10T18:21:00Z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